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9C" w:rsidRDefault="0088579C" w:rsidP="00552540">
      <w:pPr>
        <w:pStyle w:val="Otsikko"/>
      </w:pPr>
      <w:r>
        <w:t>Ohjeisto toiminimen kirjoittamisesta</w:t>
      </w:r>
    </w:p>
    <w:p w:rsidR="0088579C" w:rsidRPr="00695400" w:rsidRDefault="0088579C" w:rsidP="00E7540D">
      <w:pPr>
        <w:pStyle w:val="Tyyli2"/>
        <w:numPr>
          <w:ilvl w:val="0"/>
          <w:numId w:val="5"/>
        </w:numPr>
      </w:pPr>
      <w:r w:rsidRPr="00695400">
        <w:t>Varsinainen toiminimi</w:t>
      </w:r>
    </w:p>
    <w:p w:rsidR="0088579C" w:rsidRDefault="0088579C" w:rsidP="0088579C">
      <w:pPr>
        <w:pStyle w:val="Preformatted"/>
        <w:tabs>
          <w:tab w:val="clear" w:pos="9590"/>
        </w:tabs>
        <w:rPr>
          <w:rFonts w:ascii="Arial" w:hAnsi="Arial"/>
          <w:sz w:val="24"/>
        </w:rPr>
      </w:pPr>
    </w:p>
    <w:p w:rsidR="0088579C" w:rsidRPr="00552540" w:rsidRDefault="0088579C" w:rsidP="00552540">
      <w:r w:rsidRPr="00552540">
        <w:rPr>
          <w:b/>
        </w:rPr>
        <w:t>Yhtiöjärjestyksen perusteella</w:t>
      </w:r>
      <w:r w:rsidRPr="00552540">
        <w:rPr>
          <w:color w:val="FF0000"/>
        </w:rPr>
        <w:t>*</w:t>
      </w:r>
      <w:r w:rsidRPr="00552540">
        <w:t xml:space="preserve"> on yhtiön toimitusjohtajalla oikeus kirjoittaa yhtiön toiminimi yksin ja hallituksen jäsenillä kaksi yhdessä.</w:t>
      </w:r>
      <w:bookmarkStart w:id="0" w:name="_GoBack"/>
      <w:bookmarkEnd w:id="0"/>
    </w:p>
    <w:p w:rsidR="0088579C" w:rsidRPr="00FA269A" w:rsidRDefault="0088579C" w:rsidP="00E7540D">
      <w:pPr>
        <w:pStyle w:val="Tyyli2"/>
        <w:numPr>
          <w:ilvl w:val="0"/>
          <w:numId w:val="5"/>
        </w:numPr>
      </w:pPr>
      <w:proofErr w:type="spellStart"/>
      <w:r w:rsidRPr="00FA269A">
        <w:t>Prokura</w:t>
      </w:r>
      <w:proofErr w:type="spellEnd"/>
    </w:p>
    <w:p w:rsidR="0088579C" w:rsidRPr="00552540" w:rsidRDefault="0088579C" w:rsidP="00552540"/>
    <w:p w:rsidR="0088579C" w:rsidRPr="00552540" w:rsidRDefault="0088579C" w:rsidP="00552540">
      <w:proofErr w:type="spellStart"/>
      <w:r w:rsidRPr="00552540">
        <w:t>Prokuralain</w:t>
      </w:r>
      <w:proofErr w:type="spellEnd"/>
      <w:r w:rsidRPr="00552540">
        <w:t xml:space="preserve"> mukaan voi osakeyhtiön hallitus valtuuttaa määrätyn henkilön prokuristikseen. Prokuristi saa niissä asioissa, jotka kuuluvat työnantajan liikkeen harjoittamiseen, toimia tämän puolesta ja kirjoittaa tämän toiminimen, ei kuitenkaan eräissä kiinteistöihin liittyvissä oikeustoimissa. </w:t>
      </w:r>
      <w:proofErr w:type="spellStart"/>
      <w:r w:rsidRPr="00552540">
        <w:t>Prokura</w:t>
      </w:r>
      <w:proofErr w:type="spellEnd"/>
      <w:r w:rsidRPr="00552540">
        <w:t xml:space="preserve"> merkitään kaupparekisteriin.</w:t>
      </w:r>
    </w:p>
    <w:p w:rsidR="0088579C" w:rsidRPr="00552540" w:rsidRDefault="0088579C" w:rsidP="00552540"/>
    <w:p w:rsidR="0088579C" w:rsidRDefault="0088579C" w:rsidP="00552540">
      <w:r w:rsidRPr="00552540">
        <w:t xml:space="preserve">Yhtiömme hallituksen myöntämät </w:t>
      </w:r>
      <w:proofErr w:type="spellStart"/>
      <w:r w:rsidRPr="00552540">
        <w:t>prokurat</w:t>
      </w:r>
      <w:proofErr w:type="spellEnd"/>
      <w:r w:rsidRPr="00552540">
        <w:t xml:space="preserve"> ovat </w:t>
      </w:r>
      <w:proofErr w:type="spellStart"/>
      <w:r w:rsidRPr="00552540">
        <w:t>yhteisprokuroita</w:t>
      </w:r>
      <w:proofErr w:type="spellEnd"/>
      <w:r w:rsidRPr="00552540">
        <w:t xml:space="preserve">, jolloin kaksi prokuristia voi vain yhdessä kirjoittaa yhtiön toiminimen. </w:t>
      </w:r>
      <w:r w:rsidRPr="00552540">
        <w:rPr>
          <w:color w:val="FF0000"/>
        </w:rPr>
        <w:t>**</w:t>
      </w:r>
    </w:p>
    <w:p w:rsidR="00552540" w:rsidRPr="00552540" w:rsidRDefault="00552540" w:rsidP="00552540"/>
    <w:p w:rsidR="0088579C" w:rsidRPr="00552540" w:rsidRDefault="0088579C" w:rsidP="00552540">
      <w:r w:rsidRPr="00552540">
        <w:t>(</w:t>
      </w:r>
      <w:proofErr w:type="spellStart"/>
      <w:r w:rsidRPr="00552540">
        <w:t>Prokura</w:t>
      </w:r>
      <w:proofErr w:type="spellEnd"/>
      <w:r w:rsidRPr="00552540">
        <w:t xml:space="preserve"> voidaan myöntää myös yhdelle henkilölle.)</w:t>
      </w:r>
    </w:p>
    <w:p w:rsidR="0088579C" w:rsidRDefault="0088579C" w:rsidP="0088579C">
      <w:pPr>
        <w:pStyle w:val="Preformatted"/>
        <w:tabs>
          <w:tab w:val="clear" w:pos="9590"/>
        </w:tabs>
        <w:rPr>
          <w:rFonts w:ascii="Arial" w:hAnsi="Arial"/>
          <w:sz w:val="24"/>
        </w:rPr>
      </w:pPr>
    </w:p>
    <w:p w:rsidR="0088579C" w:rsidRPr="00552540" w:rsidRDefault="0088579C" w:rsidP="00552540">
      <w:proofErr w:type="spellStart"/>
      <w:r w:rsidRPr="00552540">
        <w:t>Prokura</w:t>
      </w:r>
      <w:proofErr w:type="spellEnd"/>
      <w:r w:rsidRPr="00552540">
        <w:t xml:space="preserve"> voidaan myöntää vain Suomessa tai muussa EU-maassa asuvalle henkilölle.</w:t>
      </w:r>
    </w:p>
    <w:p w:rsidR="0088579C" w:rsidRDefault="0088579C" w:rsidP="0088579C">
      <w:pPr>
        <w:pStyle w:val="Preformatted"/>
        <w:tabs>
          <w:tab w:val="clear" w:pos="9590"/>
        </w:tabs>
        <w:rPr>
          <w:rFonts w:ascii="Arial" w:hAnsi="Arial"/>
          <w:sz w:val="24"/>
        </w:rPr>
      </w:pPr>
    </w:p>
    <w:p w:rsidR="0088579C" w:rsidRPr="00FA269A" w:rsidRDefault="0088579C" w:rsidP="00E7540D">
      <w:pPr>
        <w:pStyle w:val="Tyyli2"/>
        <w:numPr>
          <w:ilvl w:val="1"/>
          <w:numId w:val="5"/>
        </w:numPr>
        <w:rPr>
          <w:rFonts w:ascii="Arial" w:hAnsi="Arial"/>
          <w:sz w:val="24"/>
        </w:rPr>
      </w:pPr>
      <w:r w:rsidRPr="0088579C">
        <w:rPr>
          <w:rFonts w:ascii="Arial" w:hAnsi="Arial"/>
          <w:sz w:val="24"/>
        </w:rPr>
        <w:t xml:space="preserve">Sisäinen ohjeisto </w:t>
      </w:r>
      <w:proofErr w:type="spellStart"/>
      <w:r w:rsidRPr="0088579C">
        <w:rPr>
          <w:rFonts w:ascii="Arial" w:hAnsi="Arial"/>
          <w:sz w:val="24"/>
        </w:rPr>
        <w:t>prokuran</w:t>
      </w:r>
      <w:proofErr w:type="spellEnd"/>
      <w:r w:rsidRPr="0088579C">
        <w:rPr>
          <w:rFonts w:ascii="Arial" w:hAnsi="Arial"/>
          <w:sz w:val="24"/>
        </w:rPr>
        <w:t xml:space="preserve"> käyttämisestä ja myöntämisestä</w:t>
      </w:r>
    </w:p>
    <w:p w:rsidR="0088579C" w:rsidRPr="0088579C" w:rsidRDefault="0088579C" w:rsidP="00E7540D">
      <w:pPr>
        <w:pStyle w:val="Tyyli2"/>
        <w:numPr>
          <w:ilvl w:val="2"/>
          <w:numId w:val="5"/>
        </w:numPr>
        <w:rPr>
          <w:rFonts w:ascii="Arial" w:hAnsi="Arial"/>
          <w:sz w:val="24"/>
        </w:rPr>
      </w:pPr>
      <w:proofErr w:type="spellStart"/>
      <w:r w:rsidRPr="00695400">
        <w:rPr>
          <w:rFonts w:ascii="Arial" w:hAnsi="Arial"/>
          <w:sz w:val="24"/>
        </w:rPr>
        <w:t>Prokuran</w:t>
      </w:r>
      <w:proofErr w:type="spellEnd"/>
      <w:r w:rsidRPr="00695400">
        <w:rPr>
          <w:rFonts w:ascii="Arial" w:hAnsi="Arial"/>
          <w:sz w:val="24"/>
        </w:rPr>
        <w:t xml:space="preserve"> myöntäminen</w:t>
      </w:r>
    </w:p>
    <w:p w:rsidR="0088579C" w:rsidRDefault="0088579C" w:rsidP="0088579C">
      <w:pPr>
        <w:pStyle w:val="Preformatted"/>
        <w:tabs>
          <w:tab w:val="clear" w:pos="9590"/>
        </w:tabs>
        <w:rPr>
          <w:rFonts w:ascii="Arial" w:hAnsi="Arial"/>
          <w:sz w:val="24"/>
        </w:rPr>
      </w:pPr>
    </w:p>
    <w:p w:rsidR="0088579C" w:rsidRPr="00552540" w:rsidRDefault="0088579C" w:rsidP="00552540">
      <w:pPr>
        <w:ind w:left="720"/>
      </w:pPr>
      <w:proofErr w:type="spellStart"/>
      <w:r w:rsidRPr="00552540">
        <w:t>Prokura</w:t>
      </w:r>
      <w:proofErr w:type="spellEnd"/>
      <w:r w:rsidRPr="00552540">
        <w:t xml:space="preserve"> voidaan yhtiössä pääsääntöisesti myöntää yhtiön </w:t>
      </w:r>
    </w:p>
    <w:p w:rsidR="0088579C" w:rsidRPr="00552540" w:rsidRDefault="0088579C" w:rsidP="00552540">
      <w:pPr>
        <w:ind w:left="720"/>
      </w:pPr>
      <w:r w:rsidRPr="00552540">
        <w:t>toimitusjohtajan esityksestä henkilölle</w:t>
      </w:r>
    </w:p>
    <w:p w:rsidR="0088579C" w:rsidRPr="00552540" w:rsidRDefault="0088579C" w:rsidP="00552540">
      <w:pPr>
        <w:ind w:left="720"/>
      </w:pPr>
    </w:p>
    <w:p w:rsidR="0088579C" w:rsidRPr="00552540" w:rsidRDefault="0088579C" w:rsidP="00E7540D">
      <w:pPr>
        <w:pStyle w:val="Luettelokappale"/>
        <w:numPr>
          <w:ilvl w:val="0"/>
          <w:numId w:val="7"/>
        </w:numPr>
      </w:pPr>
      <w:r w:rsidRPr="00552540">
        <w:t xml:space="preserve">jonka asema ja tehtävät yhtiössä edellyttävät </w:t>
      </w:r>
      <w:proofErr w:type="spellStart"/>
      <w:r w:rsidRPr="00552540">
        <w:t>prokuraa</w:t>
      </w:r>
      <w:proofErr w:type="spellEnd"/>
      <w:r w:rsidRPr="00552540">
        <w:t>,</w:t>
      </w:r>
      <w:r w:rsidR="00FA269A" w:rsidRPr="00552540">
        <w:t xml:space="preserve"> </w:t>
      </w:r>
      <w:r w:rsidRPr="00552540">
        <w:t>ja</w:t>
      </w:r>
    </w:p>
    <w:p w:rsidR="0088579C" w:rsidRPr="00552540" w:rsidRDefault="0088579C" w:rsidP="00E7540D">
      <w:pPr>
        <w:pStyle w:val="Luettelokappale"/>
        <w:numPr>
          <w:ilvl w:val="0"/>
          <w:numId w:val="7"/>
        </w:numPr>
      </w:pPr>
      <w:r w:rsidRPr="00552540">
        <w:t>joka on ollut yhtiön palveluksessa yhtäjaksoisesti yli vuoden ajan.</w:t>
      </w:r>
    </w:p>
    <w:p w:rsidR="0088579C" w:rsidRDefault="0088579C" w:rsidP="00FA269A">
      <w:pPr>
        <w:pStyle w:val="Preformatted"/>
        <w:tabs>
          <w:tab w:val="clear" w:pos="0"/>
          <w:tab w:val="clear" w:pos="9590"/>
        </w:tabs>
        <w:ind w:left="720"/>
        <w:rPr>
          <w:rFonts w:ascii="Arial" w:hAnsi="Arial"/>
          <w:sz w:val="24"/>
        </w:rPr>
      </w:pPr>
    </w:p>
    <w:p w:rsidR="0088579C" w:rsidRPr="00FA269A" w:rsidRDefault="0088579C" w:rsidP="00E7540D">
      <w:pPr>
        <w:pStyle w:val="Tyyli2"/>
        <w:numPr>
          <w:ilvl w:val="2"/>
          <w:numId w:val="5"/>
        </w:numPr>
        <w:rPr>
          <w:rFonts w:ascii="Arial" w:hAnsi="Arial"/>
          <w:sz w:val="24"/>
        </w:rPr>
      </w:pPr>
      <w:r w:rsidRPr="00FA269A">
        <w:rPr>
          <w:rFonts w:ascii="Arial" w:hAnsi="Arial"/>
          <w:sz w:val="24"/>
        </w:rPr>
        <w:t xml:space="preserve">Mitä </w:t>
      </w:r>
      <w:proofErr w:type="spellStart"/>
      <w:r w:rsidRPr="00FA269A">
        <w:rPr>
          <w:rFonts w:ascii="Arial" w:hAnsi="Arial"/>
          <w:sz w:val="24"/>
        </w:rPr>
        <w:t>prokuran</w:t>
      </w:r>
      <w:proofErr w:type="spellEnd"/>
      <w:r w:rsidRPr="00FA269A">
        <w:rPr>
          <w:rFonts w:ascii="Arial" w:hAnsi="Arial"/>
          <w:sz w:val="24"/>
        </w:rPr>
        <w:t xml:space="preserve"> nojalla saa allekirjoittaa?</w:t>
      </w:r>
    </w:p>
    <w:p w:rsidR="0088579C" w:rsidRDefault="0088579C" w:rsidP="0088579C">
      <w:pPr>
        <w:pStyle w:val="Preformatted"/>
        <w:tabs>
          <w:tab w:val="clear" w:pos="9590"/>
        </w:tabs>
        <w:rPr>
          <w:rFonts w:ascii="Arial" w:hAnsi="Arial"/>
          <w:sz w:val="24"/>
        </w:rPr>
      </w:pPr>
    </w:p>
    <w:p w:rsidR="0088579C" w:rsidRPr="00552540" w:rsidRDefault="0088579C" w:rsidP="00552540">
      <w:pPr>
        <w:ind w:left="720"/>
      </w:pPr>
      <w:proofErr w:type="spellStart"/>
      <w:r w:rsidRPr="00552540">
        <w:t>Prokuran</w:t>
      </w:r>
      <w:proofErr w:type="spellEnd"/>
      <w:r w:rsidRPr="00552540">
        <w:t xml:space="preserve"> nojalla allekirjoitettavat asiakirjat tulee rajoittaa yhtiön </w:t>
      </w:r>
    </w:p>
    <w:p w:rsidR="0088579C" w:rsidRPr="00552540" w:rsidRDefault="0088579C" w:rsidP="00552540">
      <w:pPr>
        <w:ind w:left="720"/>
      </w:pPr>
      <w:r w:rsidRPr="00552540">
        <w:t xml:space="preserve">kannalta tärkeimpiin asiakirjoihin, kuten hankintasopimukset, </w:t>
      </w:r>
    </w:p>
    <w:p w:rsidR="0088579C" w:rsidRPr="00552540" w:rsidRDefault="0088579C" w:rsidP="00552540">
      <w:pPr>
        <w:ind w:left="720"/>
      </w:pPr>
      <w:r w:rsidRPr="00552540">
        <w:t>tavallista suuremmat ostosopimukset, yhteistyösopimukset yms.</w:t>
      </w:r>
    </w:p>
    <w:p w:rsidR="0088579C" w:rsidRPr="00552540" w:rsidRDefault="0088579C" w:rsidP="00552540">
      <w:pPr>
        <w:ind w:left="720"/>
      </w:pPr>
    </w:p>
    <w:p w:rsidR="0088579C" w:rsidRPr="00552540" w:rsidRDefault="0088579C" w:rsidP="00552540">
      <w:pPr>
        <w:ind w:left="720"/>
      </w:pPr>
      <w:r w:rsidRPr="00552540">
        <w:t xml:space="preserve">Kiireellisten toimenpiteiden, kuten kirjallisten reklamaatioiden, </w:t>
      </w:r>
    </w:p>
    <w:p w:rsidR="0088579C" w:rsidRPr="00552540" w:rsidRDefault="0088579C" w:rsidP="00552540">
      <w:pPr>
        <w:ind w:left="720"/>
      </w:pPr>
      <w:r w:rsidRPr="00552540">
        <w:t xml:space="preserve">kohdalla voidaan prokuristiedellytyksestä joustaa tärkeissäkin </w:t>
      </w:r>
    </w:p>
    <w:p w:rsidR="0088579C" w:rsidRPr="00552540" w:rsidRDefault="0088579C" w:rsidP="00552540">
      <w:pPr>
        <w:ind w:left="720"/>
      </w:pPr>
      <w:r w:rsidRPr="00552540">
        <w:t xml:space="preserve">asiakirjoissa, kunhan toimenpiteille hankitaan jälkikäteinen </w:t>
      </w:r>
    </w:p>
    <w:p w:rsidR="0088579C" w:rsidRPr="00552540" w:rsidRDefault="0088579C" w:rsidP="00552540">
      <w:pPr>
        <w:ind w:left="720"/>
      </w:pPr>
      <w:r w:rsidRPr="00552540">
        <w:t>hyväksyntä.</w:t>
      </w:r>
    </w:p>
    <w:p w:rsidR="0088579C" w:rsidRPr="00552540" w:rsidRDefault="0088579C" w:rsidP="00552540">
      <w:pPr>
        <w:ind w:left="720"/>
      </w:pPr>
    </w:p>
    <w:p w:rsidR="0088579C" w:rsidRPr="00552540" w:rsidRDefault="0088579C" w:rsidP="00552540">
      <w:pPr>
        <w:ind w:left="720"/>
      </w:pPr>
      <w:proofErr w:type="spellStart"/>
      <w:r w:rsidRPr="00552540">
        <w:t>Prokuran</w:t>
      </w:r>
      <w:proofErr w:type="spellEnd"/>
      <w:r w:rsidRPr="00552540">
        <w:t xml:space="preserve"> nojalla saa prokuristi kirjoittaa yhtiön toiminimen </w:t>
      </w:r>
    </w:p>
    <w:p w:rsidR="0088579C" w:rsidRPr="00552540" w:rsidRDefault="0088579C" w:rsidP="00552540"/>
    <w:p w:rsidR="0088579C" w:rsidRPr="00552540" w:rsidRDefault="0088579C" w:rsidP="00E7540D">
      <w:pPr>
        <w:pStyle w:val="Luettelokappale"/>
        <w:numPr>
          <w:ilvl w:val="0"/>
          <w:numId w:val="8"/>
        </w:numPr>
      </w:pPr>
      <w:r w:rsidRPr="00552540">
        <w:t>ensimmäisenä prokuristina vain omiin työtehtäviinsä</w:t>
      </w:r>
      <w:r w:rsidR="00552540" w:rsidRPr="00552540">
        <w:t xml:space="preserve"> </w:t>
      </w:r>
      <w:r w:rsidRPr="00552540">
        <w:t>suoranaisesti ja välittömästi liittyviin asiakirjoihin</w:t>
      </w:r>
    </w:p>
    <w:p w:rsidR="00552540" w:rsidRPr="00552540" w:rsidRDefault="00552540" w:rsidP="00552540"/>
    <w:p w:rsidR="00552540" w:rsidRDefault="0088579C" w:rsidP="00E7540D">
      <w:pPr>
        <w:pStyle w:val="Luettelokappale"/>
        <w:numPr>
          <w:ilvl w:val="0"/>
          <w:numId w:val="8"/>
        </w:numPr>
      </w:pPr>
      <w:r w:rsidRPr="00552540">
        <w:lastRenderedPageBreak/>
        <w:t>toisena prokuristina</w:t>
      </w:r>
      <w:r w:rsidR="00552540">
        <w:t xml:space="preserve"> </w:t>
      </w:r>
    </w:p>
    <w:p w:rsidR="00552540" w:rsidRDefault="00552540" w:rsidP="00552540">
      <w:pPr>
        <w:pStyle w:val="Luettelokappale"/>
      </w:pPr>
    </w:p>
    <w:p w:rsidR="00552540" w:rsidRDefault="0088579C" w:rsidP="00E7540D">
      <w:pPr>
        <w:pStyle w:val="Luettelokappale"/>
        <w:numPr>
          <w:ilvl w:val="2"/>
          <w:numId w:val="8"/>
        </w:numPr>
      </w:pPr>
      <w:r w:rsidRPr="00552540">
        <w:t>omiin työtehtäviinsä suoranaisesti ja</w:t>
      </w:r>
      <w:r w:rsidR="00552540" w:rsidRPr="00552540">
        <w:t xml:space="preserve"> </w:t>
      </w:r>
      <w:r w:rsidRPr="00552540">
        <w:t>välittömästi liittyviin asiakirjoihin;</w:t>
      </w:r>
    </w:p>
    <w:p w:rsidR="0088579C" w:rsidRPr="00552540" w:rsidRDefault="0088579C" w:rsidP="00E7540D">
      <w:pPr>
        <w:pStyle w:val="Luettelokappale"/>
        <w:numPr>
          <w:ilvl w:val="2"/>
          <w:numId w:val="8"/>
        </w:numPr>
      </w:pPr>
      <w:r w:rsidRPr="00552540">
        <w:t xml:space="preserve">poikkeuksellisesti omiin työtehtäviinsä suoranaisesti liittymättömiin asiakirjoihin, mikäli ei ole saatavissa allekirjoitusta </w:t>
      </w:r>
      <w:r w:rsidR="00552540" w:rsidRPr="00552540">
        <w:t>p</w:t>
      </w:r>
      <w:r w:rsidRPr="00552540">
        <w:t>rokuristilta, jonka työtehtäviin asia liittyy.</w:t>
      </w:r>
    </w:p>
    <w:p w:rsidR="0088579C" w:rsidRPr="00552540" w:rsidRDefault="0088579C" w:rsidP="00552540">
      <w:pPr>
        <w:ind w:left="1080"/>
      </w:pPr>
    </w:p>
    <w:p w:rsidR="0088579C" w:rsidRPr="00552540" w:rsidRDefault="0088579C" w:rsidP="00552540">
      <w:pPr>
        <w:ind w:left="720"/>
      </w:pPr>
      <w:r w:rsidRPr="00552540">
        <w:t>Yksiköiden tulee kesälomajärjestelyjä tehdessään huolehtia siitä, että 2.1.2a kohdan mukainen prokuristi on tavoitettavissa. Mikäli tästä halutaan poiketa, on järjestelyistä sovittava etukäteen.</w:t>
      </w:r>
    </w:p>
    <w:p w:rsidR="0088579C" w:rsidRPr="00552540" w:rsidRDefault="0088579C" w:rsidP="00552540">
      <w:pPr>
        <w:ind w:left="720"/>
      </w:pPr>
    </w:p>
    <w:p w:rsidR="0088579C" w:rsidRPr="00552540" w:rsidRDefault="0088579C" w:rsidP="00552540">
      <w:pPr>
        <w:ind w:left="720"/>
      </w:pPr>
      <w:proofErr w:type="spellStart"/>
      <w:r w:rsidRPr="00552540">
        <w:t>Prokuran</w:t>
      </w:r>
      <w:proofErr w:type="spellEnd"/>
      <w:r w:rsidRPr="00552540">
        <w:t xml:space="preserve"> nojalla allekirjoitettujen papereiden osalta vastaavat asiakirjan sisällöstä molemmat allekirjoittajat, </w:t>
      </w:r>
      <w:proofErr w:type="spellStart"/>
      <w:r w:rsidRPr="00552540">
        <w:t>ensisijaisestikuitenkin</w:t>
      </w:r>
      <w:proofErr w:type="spellEnd"/>
      <w:r w:rsidRPr="00552540">
        <w:t xml:space="preserve"> se, jonka nimi on merkittynä ensimmäiseksi.</w:t>
      </w:r>
    </w:p>
    <w:p w:rsidR="0088579C" w:rsidRPr="00552540" w:rsidRDefault="0088579C" w:rsidP="00552540">
      <w:pPr>
        <w:ind w:left="720"/>
      </w:pPr>
    </w:p>
    <w:p w:rsidR="0088579C" w:rsidRPr="00552540" w:rsidRDefault="0088579C" w:rsidP="00552540">
      <w:pPr>
        <w:ind w:left="720"/>
      </w:pPr>
      <w:r w:rsidRPr="00552540">
        <w:t>Tämän lisäksi vastaa asiakirjan sisällöstä aina myös asiakirjan laatija.</w:t>
      </w:r>
    </w:p>
    <w:p w:rsidR="0088579C" w:rsidRDefault="0088579C" w:rsidP="00FA269A">
      <w:pPr>
        <w:pStyle w:val="Preformatted"/>
        <w:tabs>
          <w:tab w:val="clear" w:pos="9590"/>
        </w:tabs>
        <w:ind w:left="959"/>
        <w:rPr>
          <w:rFonts w:ascii="Arial" w:hAnsi="Arial"/>
          <w:sz w:val="24"/>
        </w:rPr>
      </w:pPr>
    </w:p>
    <w:p w:rsidR="0088579C" w:rsidRPr="00FA269A" w:rsidRDefault="0088579C" w:rsidP="00E7540D">
      <w:pPr>
        <w:pStyle w:val="Tyyli2"/>
        <w:numPr>
          <w:ilvl w:val="2"/>
          <w:numId w:val="5"/>
        </w:numPr>
        <w:rPr>
          <w:rFonts w:ascii="Arial" w:hAnsi="Arial"/>
          <w:sz w:val="24"/>
        </w:rPr>
      </w:pPr>
      <w:r w:rsidRPr="00FA269A">
        <w:rPr>
          <w:rFonts w:ascii="Arial" w:hAnsi="Arial"/>
          <w:sz w:val="24"/>
        </w:rPr>
        <w:t xml:space="preserve">Miten toiminimi kirjoitetaan </w:t>
      </w:r>
      <w:proofErr w:type="spellStart"/>
      <w:r w:rsidRPr="00FA269A">
        <w:rPr>
          <w:rFonts w:ascii="Arial" w:hAnsi="Arial"/>
          <w:sz w:val="24"/>
        </w:rPr>
        <w:t>prokuran</w:t>
      </w:r>
      <w:proofErr w:type="spellEnd"/>
      <w:r w:rsidRPr="00FA269A">
        <w:rPr>
          <w:rFonts w:ascii="Arial" w:hAnsi="Arial"/>
          <w:sz w:val="24"/>
        </w:rPr>
        <w:t xml:space="preserve"> nojalla?</w:t>
      </w:r>
    </w:p>
    <w:p w:rsidR="0088579C" w:rsidRPr="00552540" w:rsidRDefault="0088579C" w:rsidP="00552540">
      <w:pPr>
        <w:ind w:left="720"/>
      </w:pPr>
    </w:p>
    <w:p w:rsidR="0088579C" w:rsidRPr="00552540" w:rsidRDefault="0088579C" w:rsidP="00552540">
      <w:pPr>
        <w:ind w:left="720"/>
      </w:pPr>
      <w:r w:rsidRPr="00552540">
        <w:t xml:space="preserve">Allekirjoittaja kirjoittaa nimensä yhtiön nimen alle liittäen nimikirjoituksensa eteen joko </w:t>
      </w:r>
      <w:proofErr w:type="spellStart"/>
      <w:r w:rsidRPr="00552540">
        <w:t>prokuraa</w:t>
      </w:r>
      <w:proofErr w:type="spellEnd"/>
      <w:r w:rsidRPr="00552540">
        <w:t xml:space="preserve"> osoittavan lyhenteen </w:t>
      </w:r>
      <w:proofErr w:type="spellStart"/>
      <w:r w:rsidRPr="00552540">
        <w:t>pp</w:t>
      </w:r>
      <w:proofErr w:type="spellEnd"/>
      <w:r w:rsidRPr="00552540">
        <w:t xml:space="preserve"> tai sana per </w:t>
      </w:r>
      <w:proofErr w:type="spellStart"/>
      <w:r w:rsidRPr="00552540">
        <w:t>procuram</w:t>
      </w:r>
      <w:proofErr w:type="spellEnd"/>
      <w:r w:rsidRPr="00552540">
        <w:t xml:space="preserve"> tai prokuristina seuraavasti:</w:t>
      </w:r>
    </w:p>
    <w:p w:rsidR="0088579C" w:rsidRPr="00552540" w:rsidRDefault="0088579C" w:rsidP="00552540">
      <w:pPr>
        <w:ind w:left="720"/>
      </w:pPr>
    </w:p>
    <w:p w:rsidR="0088579C" w:rsidRPr="00552540" w:rsidRDefault="0088579C" w:rsidP="00552540">
      <w:pPr>
        <w:ind w:left="720"/>
      </w:pPr>
      <w:proofErr w:type="spellStart"/>
      <w:r w:rsidRPr="00552540">
        <w:t>xxxxxxxxxxxxx</w:t>
      </w:r>
      <w:proofErr w:type="spellEnd"/>
      <w:r w:rsidRPr="00552540">
        <w:t xml:space="preserve"> Oy</w:t>
      </w:r>
    </w:p>
    <w:p w:rsidR="0088579C" w:rsidRPr="00552540" w:rsidRDefault="0088579C" w:rsidP="00552540">
      <w:pPr>
        <w:ind w:left="720"/>
      </w:pPr>
    </w:p>
    <w:p w:rsidR="0088579C" w:rsidRPr="00552540" w:rsidRDefault="0088579C" w:rsidP="00552540">
      <w:pPr>
        <w:ind w:left="720"/>
      </w:pPr>
      <w:proofErr w:type="spellStart"/>
      <w:r w:rsidRPr="00552540">
        <w:t>pp</w:t>
      </w:r>
      <w:proofErr w:type="spellEnd"/>
      <w:r w:rsidRPr="00552540">
        <w:t xml:space="preserve"> allekirjoitus        </w:t>
      </w:r>
      <w:r w:rsidRPr="00552540">
        <w:tab/>
      </w:r>
      <w:proofErr w:type="spellStart"/>
      <w:r w:rsidRPr="00552540">
        <w:t>allekirjoitus</w:t>
      </w:r>
      <w:proofErr w:type="spellEnd"/>
    </w:p>
    <w:p w:rsidR="0088579C" w:rsidRPr="00552540" w:rsidRDefault="0088579C" w:rsidP="00552540">
      <w:pPr>
        <w:ind w:left="720"/>
      </w:pPr>
      <w:r w:rsidRPr="00552540">
        <w:t xml:space="preserve">(nimenselvennys)        </w:t>
      </w:r>
      <w:r w:rsidRPr="00552540">
        <w:tab/>
        <w:t>(nimenselvennys)</w:t>
      </w:r>
    </w:p>
    <w:p w:rsidR="0088579C" w:rsidRPr="00552540" w:rsidRDefault="0088579C" w:rsidP="00552540">
      <w:pPr>
        <w:ind w:left="720"/>
      </w:pPr>
    </w:p>
    <w:p w:rsidR="0088579C" w:rsidRPr="00552540" w:rsidRDefault="0088579C" w:rsidP="00552540">
      <w:pPr>
        <w:ind w:left="720"/>
      </w:pPr>
      <w:r w:rsidRPr="00552540">
        <w:t>Nimenselvennystä ei rutiiniluontoisiin asiakirjoihin pidetä välttämättömänä, mutta muissa asiakirjoissa se on suotava.</w:t>
      </w:r>
    </w:p>
    <w:p w:rsidR="0088579C" w:rsidRPr="00552540" w:rsidRDefault="0088579C" w:rsidP="00552540">
      <w:pPr>
        <w:ind w:left="720"/>
      </w:pPr>
    </w:p>
    <w:p w:rsidR="0088579C" w:rsidRPr="00552540" w:rsidRDefault="0088579C" w:rsidP="00552540">
      <w:pPr>
        <w:ind w:left="720"/>
      </w:pPr>
      <w:r w:rsidRPr="00552540">
        <w:t>Yhtiön virallisen allekirjoituksen yhteydessä ei voida tehdä tulosyksikköä tai osastoa osoittavaa merkintää, vaan tämä tulee tarvittaessa muuten osoittaa asiakirjoissa.</w:t>
      </w:r>
    </w:p>
    <w:p w:rsidR="0088579C" w:rsidRDefault="0088579C" w:rsidP="0088579C">
      <w:pPr>
        <w:pStyle w:val="Preformatted"/>
        <w:tabs>
          <w:tab w:val="clear" w:pos="9590"/>
        </w:tabs>
        <w:rPr>
          <w:rFonts w:ascii="Arial" w:hAnsi="Arial"/>
          <w:sz w:val="24"/>
        </w:rPr>
      </w:pPr>
    </w:p>
    <w:p w:rsidR="0088579C" w:rsidRDefault="0088579C" w:rsidP="0088579C">
      <w:pPr>
        <w:pStyle w:val="Preformatted"/>
        <w:tabs>
          <w:tab w:val="clear" w:pos="9590"/>
        </w:tabs>
        <w:rPr>
          <w:rFonts w:ascii="Arial" w:hAnsi="Arial"/>
          <w:sz w:val="24"/>
        </w:rPr>
      </w:pPr>
    </w:p>
    <w:p w:rsidR="0088579C" w:rsidRPr="00FA269A" w:rsidRDefault="0088579C" w:rsidP="00E7540D">
      <w:pPr>
        <w:pStyle w:val="Tyyli2"/>
        <w:numPr>
          <w:ilvl w:val="2"/>
          <w:numId w:val="5"/>
        </w:numPr>
        <w:rPr>
          <w:rFonts w:ascii="Arial" w:hAnsi="Arial"/>
          <w:sz w:val="24"/>
        </w:rPr>
      </w:pPr>
      <w:r w:rsidRPr="00695400">
        <w:rPr>
          <w:rFonts w:ascii="Arial" w:hAnsi="Arial"/>
          <w:sz w:val="24"/>
        </w:rPr>
        <w:t xml:space="preserve">Rajoitukset </w:t>
      </w:r>
      <w:proofErr w:type="spellStart"/>
      <w:r w:rsidRPr="00695400">
        <w:rPr>
          <w:rFonts w:ascii="Arial" w:hAnsi="Arial"/>
          <w:sz w:val="24"/>
        </w:rPr>
        <w:t>prokuran</w:t>
      </w:r>
      <w:proofErr w:type="spellEnd"/>
      <w:r w:rsidRPr="00695400">
        <w:rPr>
          <w:rFonts w:ascii="Arial" w:hAnsi="Arial"/>
          <w:sz w:val="24"/>
        </w:rPr>
        <w:t xml:space="preserve"> käyttöön</w:t>
      </w:r>
    </w:p>
    <w:p w:rsidR="0088579C" w:rsidRDefault="0088579C" w:rsidP="0088579C">
      <w:pPr>
        <w:pStyle w:val="Preformatted"/>
        <w:tabs>
          <w:tab w:val="clear" w:pos="9590"/>
        </w:tabs>
        <w:rPr>
          <w:rFonts w:ascii="Arial" w:hAnsi="Arial"/>
          <w:sz w:val="24"/>
        </w:rPr>
      </w:pPr>
    </w:p>
    <w:p w:rsidR="0088579C" w:rsidRPr="00FA269A" w:rsidRDefault="0088579C" w:rsidP="00E7540D">
      <w:pPr>
        <w:pStyle w:val="Luettelokappale"/>
        <w:numPr>
          <w:ilvl w:val="0"/>
          <w:numId w:val="6"/>
        </w:numPr>
        <w:ind w:left="1080"/>
      </w:pPr>
      <w:r w:rsidRPr="00FA269A">
        <w:t xml:space="preserve">Rahaliikenteeseen liittyviä allekirjoituksia ei </w:t>
      </w:r>
      <w:proofErr w:type="spellStart"/>
      <w:r w:rsidRPr="00FA269A">
        <w:t>prokuran</w:t>
      </w:r>
      <w:proofErr w:type="spellEnd"/>
      <w:r w:rsidRPr="00FA269A">
        <w:t xml:space="preserve"> nojalla saa</w:t>
      </w:r>
      <w:r w:rsidR="00FA269A" w:rsidRPr="00FA269A">
        <w:t xml:space="preserve"> </w:t>
      </w:r>
      <w:r w:rsidRPr="00FA269A">
        <w:t>allekirjoittaa, vaan nämä ovat rajoitetut erikseen tilikohtaisesti nimetyille henkilöille.</w:t>
      </w:r>
    </w:p>
    <w:p w:rsidR="0088579C" w:rsidRPr="00FA269A" w:rsidRDefault="0088579C" w:rsidP="00552540">
      <w:pPr>
        <w:ind w:left="360"/>
      </w:pPr>
    </w:p>
    <w:p w:rsidR="0088579C" w:rsidRPr="00FA269A" w:rsidRDefault="0088579C" w:rsidP="00E7540D">
      <w:pPr>
        <w:pStyle w:val="Luettelokappale"/>
        <w:numPr>
          <w:ilvl w:val="0"/>
          <w:numId w:val="6"/>
        </w:numPr>
        <w:ind w:left="1080"/>
      </w:pPr>
      <w:r w:rsidRPr="00FA269A">
        <w:t>Luottolaitoksille ja viranomaisille lähetettävissä luotto-, takuu- ja</w:t>
      </w:r>
      <w:r w:rsidR="00FA269A" w:rsidRPr="00FA269A">
        <w:t xml:space="preserve"> va</w:t>
      </w:r>
      <w:r w:rsidRPr="00FA269A">
        <w:t>luuttahakemuksissa sekä velkakirjoissa ja takauksissa tulee</w:t>
      </w:r>
      <w:r w:rsidR="00FA269A" w:rsidRPr="00FA269A">
        <w:t xml:space="preserve"> </w:t>
      </w:r>
      <w:r w:rsidRPr="00FA269A">
        <w:t>ensimmäisen allekirjoittajan olla talousosastolta.</w:t>
      </w:r>
      <w:r w:rsidR="00552540">
        <w:br/>
      </w:r>
      <w:r w:rsidR="00552540">
        <w:br/>
      </w:r>
      <w:r w:rsidRPr="00FA269A">
        <w:t>Lueteltuihin asiakirjoihin voi yhtiön hallitus tai talousosasto erikseen valtuuttaa yksiköltä nimeämänsä henkilöt allekirjoittamaan.</w:t>
      </w:r>
    </w:p>
    <w:p w:rsidR="0088579C" w:rsidRPr="00FA269A" w:rsidRDefault="0088579C" w:rsidP="00552540">
      <w:pPr>
        <w:ind w:left="360"/>
      </w:pPr>
    </w:p>
    <w:p w:rsidR="0088579C" w:rsidRPr="00FA269A" w:rsidRDefault="0088579C" w:rsidP="00E7540D">
      <w:pPr>
        <w:pStyle w:val="Luettelokappale"/>
        <w:numPr>
          <w:ilvl w:val="0"/>
          <w:numId w:val="6"/>
        </w:numPr>
        <w:ind w:left="1080"/>
      </w:pPr>
      <w:r w:rsidRPr="00FA269A">
        <w:t>Verottajalle, tuomioistuimille ja keskusvirastoille osoitetuissa</w:t>
      </w:r>
      <w:r w:rsidR="00FA269A" w:rsidRPr="00FA269A">
        <w:t xml:space="preserve"> </w:t>
      </w:r>
      <w:r w:rsidRPr="00FA269A">
        <w:t>anomuksissa ja hakemuksissa tulee ensimmäisen allekirjoittajan</w:t>
      </w:r>
      <w:r w:rsidR="00FA269A" w:rsidRPr="00FA269A">
        <w:t xml:space="preserve"> </w:t>
      </w:r>
      <w:r w:rsidRPr="00FA269A">
        <w:t>aina olla talous- tai lakiasiainosastolta.</w:t>
      </w:r>
    </w:p>
    <w:p w:rsidR="0088579C" w:rsidRPr="00FA269A" w:rsidRDefault="0088579C" w:rsidP="00552540">
      <w:pPr>
        <w:ind w:left="360"/>
      </w:pPr>
    </w:p>
    <w:p w:rsidR="0088579C" w:rsidRPr="00FA269A" w:rsidRDefault="0088579C" w:rsidP="00E7540D">
      <w:pPr>
        <w:pStyle w:val="Luettelokappale"/>
        <w:numPr>
          <w:ilvl w:val="1"/>
          <w:numId w:val="6"/>
        </w:numPr>
        <w:ind w:left="1890"/>
      </w:pPr>
      <w:proofErr w:type="gramStart"/>
      <w:r w:rsidRPr="00FA269A">
        <w:t>Esimerkkejä tässä tarkoitetuista asiakirjoista</w:t>
      </w:r>
      <w:proofErr w:type="gramEnd"/>
    </w:p>
    <w:p w:rsidR="0088579C" w:rsidRPr="00FA269A" w:rsidRDefault="0088579C" w:rsidP="00552540">
      <w:pPr>
        <w:ind w:left="360"/>
      </w:pPr>
    </w:p>
    <w:p w:rsidR="0088579C" w:rsidRPr="00FA269A" w:rsidRDefault="0088579C" w:rsidP="00E7540D">
      <w:pPr>
        <w:pStyle w:val="Luettelokappale"/>
        <w:numPr>
          <w:ilvl w:val="2"/>
          <w:numId w:val="6"/>
        </w:numPr>
        <w:ind w:left="2520"/>
      </w:pPr>
      <w:r w:rsidRPr="00FA269A">
        <w:t>ennakkotietoja koskevat kyselyt</w:t>
      </w:r>
    </w:p>
    <w:p w:rsidR="0088579C" w:rsidRPr="00FA269A" w:rsidRDefault="0088579C" w:rsidP="00E7540D">
      <w:pPr>
        <w:pStyle w:val="Luettelokappale"/>
        <w:numPr>
          <w:ilvl w:val="2"/>
          <w:numId w:val="6"/>
        </w:numPr>
        <w:ind w:left="2520"/>
      </w:pPr>
      <w:r w:rsidRPr="00FA269A">
        <w:t>haastehakemukset</w:t>
      </w:r>
    </w:p>
    <w:p w:rsidR="0088579C" w:rsidRPr="00FA269A" w:rsidRDefault="0088579C" w:rsidP="00E7540D">
      <w:pPr>
        <w:pStyle w:val="Luettelokappale"/>
        <w:numPr>
          <w:ilvl w:val="2"/>
          <w:numId w:val="6"/>
        </w:numPr>
        <w:ind w:left="2520"/>
      </w:pPr>
      <w:r w:rsidRPr="00FA269A">
        <w:t>ministeriöille menevät hakemukset.</w:t>
      </w:r>
    </w:p>
    <w:p w:rsidR="0088579C" w:rsidRPr="00FA269A" w:rsidRDefault="0088579C" w:rsidP="00552540">
      <w:pPr>
        <w:ind w:left="360"/>
      </w:pPr>
    </w:p>
    <w:p w:rsidR="0088579C" w:rsidRPr="00FA269A" w:rsidRDefault="0088579C" w:rsidP="00552540">
      <w:pPr>
        <w:ind w:left="1080"/>
      </w:pPr>
      <w:r w:rsidRPr="00FA269A">
        <w:t xml:space="preserve">Pienemmissä, yhtiön kannalta vähempimerkityksellisissä asioissa voidaan edellisestä 2.1.4c </w:t>
      </w:r>
      <w:r w:rsidR="00FA269A">
        <w:t>k</w:t>
      </w:r>
      <w:r w:rsidRPr="00FA269A">
        <w:t>ohdasta tarvittaessa poiketa talous-/lakiasiainosaston kanssa käydyn keskustelun perusteella.</w:t>
      </w:r>
    </w:p>
    <w:p w:rsidR="0088579C" w:rsidRPr="00FA269A" w:rsidRDefault="0088579C" w:rsidP="00552540">
      <w:pPr>
        <w:ind w:left="360"/>
      </w:pPr>
    </w:p>
    <w:p w:rsidR="0088579C" w:rsidRPr="00FA269A" w:rsidRDefault="0088579C" w:rsidP="00E7540D">
      <w:pPr>
        <w:pStyle w:val="Luettelokappale"/>
        <w:numPr>
          <w:ilvl w:val="0"/>
          <w:numId w:val="6"/>
        </w:numPr>
        <w:ind w:left="1080"/>
      </w:pPr>
      <w:r w:rsidRPr="00FA269A">
        <w:lastRenderedPageBreak/>
        <w:t xml:space="preserve">Toimitusjohtaja voi sisäisin ohjein rajoittaa </w:t>
      </w:r>
      <w:proofErr w:type="spellStart"/>
      <w:r w:rsidRPr="00FA269A">
        <w:t>prokuran</w:t>
      </w:r>
      <w:proofErr w:type="spellEnd"/>
      <w:r w:rsidRPr="00FA269A">
        <w:t xml:space="preserve"> käyttöä.</w:t>
      </w:r>
    </w:p>
    <w:p w:rsidR="0088579C" w:rsidRDefault="0088579C" w:rsidP="0088579C">
      <w:pPr>
        <w:pStyle w:val="Preformatted"/>
        <w:tabs>
          <w:tab w:val="clear" w:pos="9590"/>
        </w:tabs>
        <w:rPr>
          <w:rFonts w:ascii="Arial" w:hAnsi="Arial"/>
          <w:sz w:val="24"/>
        </w:rPr>
      </w:pPr>
    </w:p>
    <w:p w:rsidR="0088579C" w:rsidRPr="00FA269A" w:rsidRDefault="0088579C" w:rsidP="00E7540D">
      <w:pPr>
        <w:pStyle w:val="Tyyli2"/>
        <w:numPr>
          <w:ilvl w:val="2"/>
          <w:numId w:val="5"/>
        </w:numPr>
        <w:rPr>
          <w:rFonts w:ascii="Arial" w:hAnsi="Arial"/>
          <w:sz w:val="24"/>
        </w:rPr>
      </w:pPr>
      <w:r w:rsidRPr="00695400">
        <w:rPr>
          <w:rFonts w:ascii="Arial" w:hAnsi="Arial"/>
          <w:sz w:val="24"/>
        </w:rPr>
        <w:t>Haasteiden vastaanotto</w:t>
      </w:r>
    </w:p>
    <w:p w:rsidR="0088579C" w:rsidRDefault="0088579C" w:rsidP="0088579C">
      <w:pPr>
        <w:pStyle w:val="Preformatted"/>
        <w:tabs>
          <w:tab w:val="clear" w:pos="9590"/>
        </w:tabs>
        <w:rPr>
          <w:rFonts w:ascii="Arial" w:hAnsi="Arial"/>
          <w:sz w:val="24"/>
        </w:rPr>
      </w:pPr>
    </w:p>
    <w:p w:rsidR="0088579C" w:rsidRPr="00552540" w:rsidRDefault="0088579C" w:rsidP="00552540">
      <w:pPr>
        <w:ind w:left="720"/>
      </w:pPr>
      <w:r w:rsidRPr="00552540">
        <w:t>Mikäli prokuristi joutuu yhtiön puolesta ottamaan vastaan haasteen tai muun vastaavan tiedoksiannon, on tämä välittömästi ilmoitettava yhtiön lakimiehelle, jolloin ilmoituksen tulee sisältää tieto asiasta samoin kuin siitä henkilöstä, joka haasteen on toimittanut.</w:t>
      </w:r>
    </w:p>
    <w:p w:rsidR="0088579C" w:rsidRPr="00FA269A" w:rsidRDefault="0088579C" w:rsidP="00E7540D">
      <w:pPr>
        <w:pStyle w:val="Tyyli2"/>
        <w:numPr>
          <w:ilvl w:val="0"/>
          <w:numId w:val="5"/>
        </w:numPr>
      </w:pPr>
      <w:r w:rsidRPr="00FA269A">
        <w:t>Asemavaltuutus</w:t>
      </w:r>
    </w:p>
    <w:p w:rsidR="0088579C" w:rsidRPr="00695400" w:rsidRDefault="0088579C" w:rsidP="0088579C">
      <w:pPr>
        <w:pStyle w:val="Preformatted"/>
        <w:tabs>
          <w:tab w:val="clear" w:pos="9590"/>
        </w:tabs>
        <w:rPr>
          <w:rFonts w:ascii="Arial" w:hAnsi="Arial"/>
          <w:b/>
          <w:sz w:val="24"/>
        </w:rPr>
      </w:pPr>
    </w:p>
    <w:p w:rsidR="0088579C" w:rsidRPr="00552540" w:rsidRDefault="0088579C" w:rsidP="00552540">
      <w:r w:rsidRPr="00552540">
        <w:t xml:space="preserve">Yhtiötä sitova oikeustoimi voi syntyä myös asemavaltuutuksen perusteella. Milloin </w:t>
      </w:r>
      <w:r w:rsidR="00552540" w:rsidRPr="00552540">
        <w:t>h</w:t>
      </w:r>
      <w:r w:rsidRPr="00552540">
        <w:t>enkilöllä työsuhteensa perusteella on sellainen asema, että siihen lain tai yleisen tavan mukaan liittyy kelpoisuus toimia yhtiön puolesta, katsotaan hänet valtuutetuksi tämän kelpoisuuden rajoissa tekemään oikeustoimia. Näin syntynyt oikeustoimi sitoo siis yhtiötä.</w:t>
      </w:r>
    </w:p>
    <w:p w:rsidR="0088579C" w:rsidRPr="00552540" w:rsidRDefault="0088579C" w:rsidP="00552540"/>
    <w:p w:rsidR="0088579C" w:rsidRPr="00552540" w:rsidRDefault="0088579C" w:rsidP="00552540">
      <w:r w:rsidRPr="00552540">
        <w:t xml:space="preserve">Esimerkki: </w:t>
      </w:r>
      <w:proofErr w:type="spellStart"/>
      <w:r w:rsidRPr="00552540">
        <w:t>xxxxxxxxxx</w:t>
      </w:r>
      <w:proofErr w:type="spellEnd"/>
      <w:r w:rsidRPr="00552540">
        <w:t xml:space="preserve"> Oy:n edustaja sopii joko suullisesti tai kirjallisesti laitekaupasta.</w:t>
      </w:r>
    </w:p>
    <w:p w:rsidR="0088579C" w:rsidRPr="00552540" w:rsidRDefault="0088579C" w:rsidP="00552540"/>
    <w:p w:rsidR="0088579C" w:rsidRPr="00552540" w:rsidRDefault="0088579C" w:rsidP="00552540">
      <w:r w:rsidRPr="00552540">
        <w:t>Asemavaltuutuksen perusteella asiakirjoja allekirjoitettaessa on suotavaa, että allekirjoituksen yhteydessä näkyy myös yhtiön sen tulosyksikön nimi, esim. seuraavasti:</w:t>
      </w:r>
    </w:p>
    <w:p w:rsidR="0088579C" w:rsidRPr="00552540" w:rsidRDefault="0088579C" w:rsidP="00552540"/>
    <w:p w:rsidR="0088579C" w:rsidRPr="00552540" w:rsidRDefault="0088579C" w:rsidP="00552540"/>
    <w:p w:rsidR="0088579C" w:rsidRPr="00552540" w:rsidRDefault="0088579C" w:rsidP="00552540">
      <w:r w:rsidRPr="00552540">
        <w:t xml:space="preserve">                                </w:t>
      </w:r>
      <w:r w:rsidRPr="00552540">
        <w:tab/>
      </w:r>
      <w:r w:rsidRPr="00552540">
        <w:tab/>
        <w:t>Ei näin:</w:t>
      </w:r>
    </w:p>
    <w:p w:rsidR="0088579C" w:rsidRPr="00552540" w:rsidRDefault="0088579C" w:rsidP="00552540"/>
    <w:p w:rsidR="0088579C" w:rsidRPr="00552540" w:rsidRDefault="0088579C" w:rsidP="00552540">
      <w:proofErr w:type="spellStart"/>
      <w:r w:rsidRPr="00552540">
        <w:t>xxxxxxxxxxxxxxxx</w:t>
      </w:r>
      <w:proofErr w:type="spellEnd"/>
      <w:r w:rsidRPr="00552540">
        <w:t xml:space="preserve"> Oy             </w:t>
      </w:r>
      <w:r w:rsidRPr="00552540">
        <w:tab/>
      </w:r>
      <w:proofErr w:type="spellStart"/>
      <w:r w:rsidRPr="00552540">
        <w:t>xxxxxxxxxxxxxxxx</w:t>
      </w:r>
      <w:proofErr w:type="spellEnd"/>
      <w:r w:rsidRPr="00552540">
        <w:t xml:space="preserve"> Oy</w:t>
      </w:r>
    </w:p>
    <w:p w:rsidR="0088579C" w:rsidRPr="00552540" w:rsidRDefault="0088579C" w:rsidP="00552540">
      <w:r w:rsidRPr="00552540">
        <w:t xml:space="preserve">YYYYYYYY (osasto)              </w:t>
      </w:r>
      <w:r w:rsidRPr="00552540">
        <w:tab/>
        <w:t>os. 333</w:t>
      </w:r>
    </w:p>
    <w:p w:rsidR="0088579C" w:rsidRPr="00552540" w:rsidRDefault="0088579C" w:rsidP="00552540">
      <w:r w:rsidRPr="00552540">
        <w:t xml:space="preserve">psta allekirjoitus              </w:t>
      </w:r>
      <w:r w:rsidRPr="00552540">
        <w:tab/>
      </w:r>
      <w:r w:rsidRPr="00552540">
        <w:tab/>
        <w:t>psta allekirjoitus</w:t>
      </w:r>
    </w:p>
    <w:p w:rsidR="0088579C" w:rsidRPr="00552540" w:rsidRDefault="0088579C" w:rsidP="00552540">
      <w:r w:rsidRPr="00552540">
        <w:t xml:space="preserve">(nimenselvennys)                </w:t>
      </w:r>
      <w:r w:rsidR="00552540">
        <w:tab/>
      </w:r>
      <w:r w:rsidRPr="00552540">
        <w:tab/>
      </w:r>
      <w:r w:rsidR="00552540">
        <w:t>(</w:t>
      </w:r>
      <w:r w:rsidRPr="00552540">
        <w:t>nimenselvennys)</w:t>
      </w:r>
    </w:p>
    <w:p w:rsidR="0088579C" w:rsidRPr="00552540" w:rsidRDefault="0088579C" w:rsidP="00552540"/>
    <w:p w:rsidR="0088579C" w:rsidRPr="00552540" w:rsidRDefault="0088579C" w:rsidP="00552540">
      <w:r w:rsidRPr="00552540">
        <w:t>Asemavaltuuden osalta on kuitenkin huomattava, että yhtiö saattaa tulla sidotuksi, vaikka allekirjoituksen yhteydessä ei yhtiön nimeä esiintyisikään.</w:t>
      </w:r>
    </w:p>
    <w:p w:rsidR="0088579C" w:rsidRPr="00552540" w:rsidRDefault="0088579C" w:rsidP="00552540"/>
    <w:p w:rsidR="0088579C" w:rsidRPr="00552540" w:rsidRDefault="0088579C" w:rsidP="00552540">
      <w:r w:rsidRPr="00552540">
        <w:t xml:space="preserve">Rutiiniluonteisten asiakirjojen kuten normaalien tilausten, lähetteiden, tilastotietojen, maksukehotusten jne. allekirjoitukset ovat tarkoituksenmukaista tehdä asemavaltuutuksen nojalla ja rajoittaa </w:t>
      </w:r>
      <w:proofErr w:type="spellStart"/>
      <w:r w:rsidRPr="00552540">
        <w:t>prokuran</w:t>
      </w:r>
      <w:proofErr w:type="spellEnd"/>
      <w:r w:rsidRPr="00552540">
        <w:t xml:space="preserve"> käyttö tärkeimpiin asiakirjoihin.</w:t>
      </w:r>
    </w:p>
    <w:p w:rsidR="0088579C" w:rsidRPr="00552540" w:rsidRDefault="0088579C" w:rsidP="00552540"/>
    <w:p w:rsidR="0088579C" w:rsidRPr="00FA269A" w:rsidRDefault="0088579C" w:rsidP="00E7540D">
      <w:pPr>
        <w:pStyle w:val="Tyyli2"/>
        <w:numPr>
          <w:ilvl w:val="0"/>
          <w:numId w:val="5"/>
        </w:numPr>
        <w:rPr>
          <w:rFonts w:ascii="Arial" w:hAnsi="Arial"/>
        </w:rPr>
      </w:pPr>
      <w:r w:rsidRPr="00FA269A">
        <w:t>Allekirjoitusten</w:t>
      </w:r>
      <w:r w:rsidRPr="00FA269A">
        <w:rPr>
          <w:rFonts w:ascii="Arial" w:hAnsi="Arial"/>
        </w:rPr>
        <w:t xml:space="preserve"> sitovuus</w:t>
      </w:r>
    </w:p>
    <w:p w:rsidR="0088579C" w:rsidRDefault="0088579C" w:rsidP="0088579C">
      <w:pPr>
        <w:pStyle w:val="Preformatted"/>
        <w:tabs>
          <w:tab w:val="clear" w:pos="9590"/>
        </w:tabs>
        <w:rPr>
          <w:rFonts w:ascii="Arial" w:hAnsi="Arial"/>
          <w:sz w:val="24"/>
        </w:rPr>
      </w:pPr>
    </w:p>
    <w:p w:rsidR="0088579C" w:rsidRPr="00552540" w:rsidRDefault="0088579C" w:rsidP="00552540">
      <w:r w:rsidRPr="00552540">
        <w:t xml:space="preserve">Sisäisillä rajoituksilla ei voida rajoittaa allekirjoituksen sitovuutta ulkopuolisiin nähden. Ts. yhtiö tulee aina sidotuksi toiminimenkirjoittajien tai </w:t>
      </w:r>
      <w:proofErr w:type="gramStart"/>
      <w:r w:rsidRPr="00552540">
        <w:t>prokuristien  allekirjoitettua</w:t>
      </w:r>
      <w:proofErr w:type="gramEnd"/>
      <w:r w:rsidRPr="00552540">
        <w:t xml:space="preserve"> asiakirjan ja asemavaltuutuksen nojalla yhdenkin henkilön allekirjoitus riittää sitomaan yhtiön ulkopuoliseen </w:t>
      </w:r>
      <w:proofErr w:type="spellStart"/>
      <w:r w:rsidRPr="00552540">
        <w:t>nähden.Ainoa</w:t>
      </w:r>
      <w:proofErr w:type="spellEnd"/>
      <w:r w:rsidRPr="00552540">
        <w:t xml:space="preserve"> rajoitus, joka voidaan asettaa toiminimenkirjoitusoikeuden tai </w:t>
      </w:r>
      <w:proofErr w:type="spellStart"/>
      <w:r w:rsidRPr="00552540">
        <w:t>prokuran</w:t>
      </w:r>
      <w:proofErr w:type="spellEnd"/>
      <w:r w:rsidRPr="00552540">
        <w:t xml:space="preserve"> käytölle on se, että vain kaksi tai useammat henkilöt voivat vain yhdessä merkitä toiminimen.</w:t>
      </w:r>
    </w:p>
    <w:p w:rsidR="0088579C" w:rsidRDefault="0088579C" w:rsidP="0088579C">
      <w:pPr>
        <w:pStyle w:val="Preformatted"/>
        <w:tabs>
          <w:tab w:val="clear" w:pos="9590"/>
        </w:tabs>
        <w:rPr>
          <w:rFonts w:ascii="Arial" w:hAnsi="Arial"/>
          <w:sz w:val="24"/>
        </w:rPr>
      </w:pPr>
    </w:p>
    <w:p w:rsidR="0088579C" w:rsidRPr="00552540" w:rsidRDefault="0088579C" w:rsidP="00552540">
      <w:r w:rsidRPr="00552540">
        <w:t>Tampere, heinäkuun 28. päivänä 2013</w:t>
      </w:r>
    </w:p>
    <w:p w:rsidR="0088579C" w:rsidRDefault="0088579C" w:rsidP="0088579C">
      <w:pPr>
        <w:pStyle w:val="Preformatted"/>
        <w:tabs>
          <w:tab w:val="clear" w:pos="9590"/>
        </w:tabs>
        <w:rPr>
          <w:rFonts w:ascii="Arial" w:hAnsi="Arial"/>
          <w:sz w:val="24"/>
        </w:rPr>
      </w:pPr>
    </w:p>
    <w:p w:rsidR="0088579C" w:rsidRPr="00552540" w:rsidRDefault="0088579C" w:rsidP="00552540"/>
    <w:p w:rsidR="0088579C" w:rsidRPr="00552540" w:rsidRDefault="0088579C" w:rsidP="00552540">
      <w:r w:rsidRPr="00552540">
        <w:t>NN</w:t>
      </w:r>
    </w:p>
    <w:p w:rsidR="0088579C" w:rsidRPr="00552540" w:rsidRDefault="0088579C" w:rsidP="00552540">
      <w:r w:rsidRPr="00552540">
        <w:t>toimitusjohtaja</w:t>
      </w:r>
    </w:p>
    <w:p w:rsidR="0088579C" w:rsidRPr="00552540" w:rsidRDefault="0088579C" w:rsidP="00552540"/>
    <w:p w:rsidR="0088579C" w:rsidRDefault="0088579C" w:rsidP="0088579C">
      <w:pPr>
        <w:pStyle w:val="Tyyli2"/>
      </w:pPr>
      <w:proofErr w:type="gramStart"/>
      <w:r>
        <w:lastRenderedPageBreak/>
        <w:t>LIITE           Prokuristiluettelo</w:t>
      </w:r>
      <w:proofErr w:type="gramEnd"/>
      <w:r>
        <w:t xml:space="preserve"> </w:t>
      </w:r>
    </w:p>
    <w:p w:rsidR="0088579C" w:rsidRDefault="0088579C" w:rsidP="0088579C">
      <w:pPr>
        <w:pStyle w:val="Preformatted"/>
        <w:tabs>
          <w:tab w:val="clear" w:pos="9590"/>
        </w:tabs>
      </w:pPr>
    </w:p>
    <w:p w:rsidR="0088579C" w:rsidRDefault="0088579C" w:rsidP="0088579C">
      <w:pPr>
        <w:pStyle w:val="Preformatted"/>
        <w:tabs>
          <w:tab w:val="clear" w:pos="9590"/>
        </w:tabs>
      </w:pPr>
    </w:p>
    <w:p w:rsidR="0088579C" w:rsidRDefault="0088579C" w:rsidP="0088579C">
      <w:pPr>
        <w:pStyle w:val="Preformatted"/>
        <w:tabs>
          <w:tab w:val="clear" w:pos="9590"/>
        </w:tabs>
      </w:pPr>
    </w:p>
    <w:p w:rsidR="0088579C" w:rsidRDefault="0088579C" w:rsidP="0088579C">
      <w:pPr>
        <w:pStyle w:val="Preformatted"/>
        <w:tabs>
          <w:tab w:val="clear" w:pos="9590"/>
        </w:tabs>
      </w:pPr>
    </w:p>
    <w:p w:rsidR="0088579C" w:rsidRDefault="0088579C" w:rsidP="00E7540D">
      <w:pPr>
        <w:pStyle w:val="Preformatted"/>
        <w:numPr>
          <w:ilvl w:val="0"/>
          <w:numId w:val="4"/>
        </w:numPr>
        <w:tabs>
          <w:tab w:val="left" w:pos="8505"/>
        </w:tabs>
        <w:rPr>
          <w:rFonts w:ascii="Calibri" w:hAnsi="Calibri"/>
          <w:i/>
          <w:color w:val="FF0000"/>
          <w:sz w:val="18"/>
          <w:szCs w:val="18"/>
        </w:rPr>
      </w:pPr>
      <w:proofErr w:type="gramStart"/>
      <w:r>
        <w:rPr>
          <w:rFonts w:ascii="Calibri" w:hAnsi="Calibri"/>
          <w:i/>
          <w:color w:val="FF0000"/>
          <w:sz w:val="18"/>
          <w:szCs w:val="18"/>
        </w:rPr>
        <w:t xml:space="preserve">*    </w:t>
      </w:r>
      <w:r w:rsidRPr="00ED6F1C">
        <w:rPr>
          <w:rFonts w:ascii="Calibri" w:hAnsi="Calibri"/>
          <w:i/>
          <w:color w:val="FF0000"/>
          <w:sz w:val="18"/>
          <w:szCs w:val="18"/>
        </w:rPr>
        <w:t>On</w:t>
      </w:r>
      <w:proofErr w:type="gramEnd"/>
      <w:r w:rsidRPr="00ED6F1C">
        <w:rPr>
          <w:rFonts w:ascii="Calibri" w:hAnsi="Calibri"/>
          <w:i/>
          <w:color w:val="FF0000"/>
          <w:sz w:val="18"/>
          <w:szCs w:val="18"/>
        </w:rPr>
        <w:t xml:space="preserve"> tarkastettava yhtiöjärjestyksestä, mitä yhtiöjärjestys määrää.</w:t>
      </w:r>
    </w:p>
    <w:p w:rsidR="0088579C" w:rsidRPr="00ED6F1C" w:rsidRDefault="0088579C" w:rsidP="00E7540D">
      <w:pPr>
        <w:pStyle w:val="Preformatted"/>
        <w:numPr>
          <w:ilvl w:val="0"/>
          <w:numId w:val="4"/>
        </w:numPr>
        <w:tabs>
          <w:tab w:val="left" w:pos="8505"/>
        </w:tabs>
        <w:rPr>
          <w:rFonts w:ascii="Calibri" w:hAnsi="Calibri"/>
          <w:i/>
          <w:color w:val="FF0000"/>
          <w:sz w:val="18"/>
          <w:szCs w:val="18"/>
        </w:rPr>
      </w:pPr>
      <w:r>
        <w:rPr>
          <w:rFonts w:ascii="Calibri" w:hAnsi="Calibri"/>
          <w:i/>
          <w:color w:val="FF0000"/>
          <w:sz w:val="18"/>
          <w:szCs w:val="18"/>
        </w:rPr>
        <w:t>*</w:t>
      </w:r>
      <w:proofErr w:type="gramStart"/>
      <w:r>
        <w:rPr>
          <w:rFonts w:ascii="Calibri" w:hAnsi="Calibri"/>
          <w:i/>
          <w:color w:val="FF0000"/>
          <w:sz w:val="18"/>
          <w:szCs w:val="18"/>
        </w:rPr>
        <w:t>*  Tämä</w:t>
      </w:r>
      <w:proofErr w:type="gramEnd"/>
      <w:r>
        <w:rPr>
          <w:rFonts w:ascii="Calibri" w:hAnsi="Calibri"/>
          <w:i/>
          <w:color w:val="FF0000"/>
          <w:sz w:val="18"/>
          <w:szCs w:val="18"/>
        </w:rPr>
        <w:t xml:space="preserve"> on vain esimerkki, josta voidaan yhtiökohtaisesti poiketa.</w:t>
      </w:r>
    </w:p>
    <w:p w:rsidR="0088579C" w:rsidRPr="00ED6F1C" w:rsidRDefault="0088579C" w:rsidP="0088579C">
      <w:pPr>
        <w:pStyle w:val="Preformatted"/>
        <w:tabs>
          <w:tab w:val="clear" w:pos="9590"/>
          <w:tab w:val="left" w:pos="8505"/>
        </w:tabs>
        <w:rPr>
          <w:rFonts w:ascii="Calibri" w:hAnsi="Calibri"/>
          <w:color w:val="FF0000"/>
          <w:sz w:val="22"/>
          <w:szCs w:val="22"/>
        </w:rPr>
      </w:pPr>
    </w:p>
    <w:p w:rsidR="0088579C" w:rsidRDefault="0088579C" w:rsidP="0088579C">
      <w:pPr>
        <w:pStyle w:val="Preformatted"/>
        <w:tabs>
          <w:tab w:val="clear" w:pos="9590"/>
        </w:tabs>
      </w:pPr>
    </w:p>
    <w:p w:rsidR="00E11236" w:rsidRPr="00942E62" w:rsidRDefault="00E11236" w:rsidP="005B5D65">
      <w:pPr>
        <w:pStyle w:val="Tyyli2"/>
        <w:spacing w:before="0" w:after="0"/>
        <w:rPr>
          <w:color w:val="auto"/>
        </w:rPr>
      </w:pPr>
    </w:p>
    <w:sectPr w:rsidR="00E11236" w:rsidRPr="00942E62" w:rsidSect="00794068">
      <w:headerReference w:type="default" r:id="rId7"/>
      <w:footerReference w:type="default" r:id="rId8"/>
      <w:pgSz w:w="11900" w:h="16840"/>
      <w:pgMar w:top="1701" w:right="1134" w:bottom="5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0D" w:rsidRDefault="00E7540D">
      <w:r>
        <w:separator/>
      </w:r>
    </w:p>
  </w:endnote>
  <w:endnote w:type="continuationSeparator" w:id="0">
    <w:p w:rsidR="00E7540D" w:rsidRDefault="00E7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Default="00263766" w:rsidP="004226E3">
    <w:pPr>
      <w:pStyle w:val="Alatunniste"/>
      <w:ind w:left="-1134"/>
    </w:pPr>
    <w:r>
      <w:rPr>
        <w:noProof/>
        <w:lang w:eastAsia="fi-FI"/>
      </w:rPr>
      <w:drawing>
        <wp:anchor distT="0" distB="0" distL="114300" distR="114300" simplePos="0" relativeHeight="251659776" behindDoc="0" locked="0" layoutInCell="1" allowOverlap="1">
          <wp:simplePos x="0" y="0"/>
          <wp:positionH relativeFrom="column">
            <wp:posOffset>-1226820</wp:posOffset>
          </wp:positionH>
          <wp:positionV relativeFrom="page">
            <wp:posOffset>10273030</wp:posOffset>
          </wp:positionV>
          <wp:extent cx="8063230" cy="419100"/>
          <wp:effectExtent l="19050" t="0" r="0" b="0"/>
          <wp:wrapTight wrapText="bothSides">
            <wp:wrapPolygon edited="0">
              <wp:start x="-51" y="0"/>
              <wp:lineTo x="-51" y="20618"/>
              <wp:lineTo x="21586" y="20618"/>
              <wp:lineTo x="21586" y="0"/>
              <wp:lineTo x="-51" y="0"/>
            </wp:wrapPolygon>
          </wp:wrapTight>
          <wp:docPr id="12" name="Kuva 1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_viivat-lom"/>
                  <pic:cNvPicPr>
                    <a:picLocks noChangeAspect="1" noChangeArrowheads="1"/>
                  </pic:cNvPicPr>
                </pic:nvPicPr>
                <pic:blipFill>
                  <a:blip r:embed="rId1"/>
                  <a:srcRect/>
                  <a:stretch>
                    <a:fillRect/>
                  </a:stretch>
                </pic:blipFill>
                <pic:spPr bwMode="auto">
                  <a:xfrm>
                    <a:off x="0" y="0"/>
                    <a:ext cx="8063230" cy="4191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2"/>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3"/>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3"/>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0D" w:rsidRDefault="00E7540D">
      <w:r>
        <w:separator/>
      </w:r>
    </w:p>
  </w:footnote>
  <w:footnote w:type="continuationSeparator" w:id="0">
    <w:p w:rsidR="00E7540D" w:rsidRDefault="00E7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Pr="008224E4" w:rsidRDefault="00263766">
    <w:pPr>
      <w:pStyle w:val="Yltunniste"/>
      <w:rPr>
        <w:noProof/>
        <w:lang w:val="en-US" w:eastAsia="fi-FI"/>
      </w:rPr>
    </w:pPr>
    <w:r>
      <w:rPr>
        <w:noProof/>
        <w:lang w:eastAsia="fi-FI"/>
      </w:rPr>
      <w:drawing>
        <wp:anchor distT="0" distB="0" distL="114300" distR="114300" simplePos="0" relativeHeight="251655680" behindDoc="1" locked="0" layoutInCell="1" allowOverlap="1">
          <wp:simplePos x="0" y="0"/>
          <wp:positionH relativeFrom="column">
            <wp:posOffset>0</wp:posOffset>
          </wp:positionH>
          <wp:positionV relativeFrom="paragraph">
            <wp:posOffset>-6985</wp:posOffset>
          </wp:positionV>
          <wp:extent cx="2414270" cy="266700"/>
          <wp:effectExtent l="19050" t="0" r="5080" b="0"/>
          <wp:wrapNone/>
          <wp:docPr id="1" name="Kuva 1" descr="HP_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logo-12.jpg"/>
                  <pic:cNvPicPr>
                    <a:picLocks noChangeAspect="1" noChangeArrowheads="1"/>
                  </pic:cNvPicPr>
                </pic:nvPicPr>
                <pic:blipFill>
                  <a:blip r:embed="rId1"/>
                  <a:srcRect/>
                  <a:stretch>
                    <a:fillRect/>
                  </a:stretch>
                </pic:blipFill>
                <pic:spPr bwMode="auto">
                  <a:xfrm>
                    <a:off x="0" y="0"/>
                    <a:ext cx="2414270" cy="266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0DD3F3B"/>
    <w:multiLevelType w:val="hybridMultilevel"/>
    <w:tmpl w:val="11B25E66"/>
    <w:lvl w:ilvl="0" w:tplc="9A7020D6">
      <w:start w:val="1"/>
      <w:numFmt w:val="lowerLetter"/>
      <w:lvlText w:val="%1)"/>
      <w:lvlJc w:val="left"/>
      <w:pPr>
        <w:ind w:left="1230" w:hanging="51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FE68D7"/>
    <w:multiLevelType w:val="hybridMultilevel"/>
    <w:tmpl w:val="A7F4DDC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C392745"/>
    <w:multiLevelType w:val="hybridMultilevel"/>
    <w:tmpl w:val="9558BBCA"/>
    <w:lvl w:ilvl="0" w:tplc="040B0001">
      <w:start w:val="25"/>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ABB3E04"/>
    <w:multiLevelType w:val="hybridMultilevel"/>
    <w:tmpl w:val="FEEE97F6"/>
    <w:lvl w:ilvl="0" w:tplc="040B0017">
      <w:start w:val="1"/>
      <w:numFmt w:val="lowerLetter"/>
      <w:lvlText w:val="%1)"/>
      <w:lvlJc w:val="left"/>
      <w:pPr>
        <w:ind w:left="720" w:hanging="360"/>
      </w:pPr>
    </w:lvl>
    <w:lvl w:ilvl="1" w:tplc="12362934">
      <w:start w:val="4"/>
      <w:numFmt w:val="bullet"/>
      <w:lvlText w:val="-"/>
      <w:lvlJc w:val="left"/>
      <w:pPr>
        <w:ind w:left="1530" w:hanging="450"/>
      </w:pPr>
      <w:rPr>
        <w:rFonts w:ascii="Arial" w:eastAsia="Cambria" w:hAnsi="Arial" w:cs="Aria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BFC41C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6"/>
  </w:num>
  <w:num w:numId="5">
    <w:abstractNumId w:val="8"/>
  </w:num>
  <w:num w:numId="6">
    <w:abstractNumId w:val="7"/>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F3"/>
    <w:rsid w:val="000335DC"/>
    <w:rsid w:val="0004157E"/>
    <w:rsid w:val="00124E23"/>
    <w:rsid w:val="00163BB0"/>
    <w:rsid w:val="00172639"/>
    <w:rsid w:val="001823FC"/>
    <w:rsid w:val="001845E2"/>
    <w:rsid w:val="001A5A3E"/>
    <w:rsid w:val="00212270"/>
    <w:rsid w:val="002231DE"/>
    <w:rsid w:val="002575C0"/>
    <w:rsid w:val="00263766"/>
    <w:rsid w:val="002B536E"/>
    <w:rsid w:val="002E275B"/>
    <w:rsid w:val="00331DC3"/>
    <w:rsid w:val="003807F8"/>
    <w:rsid w:val="00404FF8"/>
    <w:rsid w:val="00421BAC"/>
    <w:rsid w:val="004226E3"/>
    <w:rsid w:val="004A7D36"/>
    <w:rsid w:val="00512307"/>
    <w:rsid w:val="00552540"/>
    <w:rsid w:val="00584EE8"/>
    <w:rsid w:val="005B2ECD"/>
    <w:rsid w:val="005B5D65"/>
    <w:rsid w:val="0068429D"/>
    <w:rsid w:val="006B289C"/>
    <w:rsid w:val="006E327E"/>
    <w:rsid w:val="006F3B99"/>
    <w:rsid w:val="00770F12"/>
    <w:rsid w:val="00794068"/>
    <w:rsid w:val="007B5E1D"/>
    <w:rsid w:val="00810727"/>
    <w:rsid w:val="008139EE"/>
    <w:rsid w:val="00825304"/>
    <w:rsid w:val="00854532"/>
    <w:rsid w:val="008848F3"/>
    <w:rsid w:val="0088579C"/>
    <w:rsid w:val="00942E62"/>
    <w:rsid w:val="00994F22"/>
    <w:rsid w:val="009D012F"/>
    <w:rsid w:val="00A0022C"/>
    <w:rsid w:val="00A31994"/>
    <w:rsid w:val="00A67A51"/>
    <w:rsid w:val="00BB6A81"/>
    <w:rsid w:val="00BF6266"/>
    <w:rsid w:val="00C26295"/>
    <w:rsid w:val="00D04A2F"/>
    <w:rsid w:val="00D318D6"/>
    <w:rsid w:val="00D476A6"/>
    <w:rsid w:val="00D96C12"/>
    <w:rsid w:val="00DA2402"/>
    <w:rsid w:val="00DA7945"/>
    <w:rsid w:val="00E11236"/>
    <w:rsid w:val="00E66A83"/>
    <w:rsid w:val="00E7540D"/>
    <w:rsid w:val="00EC4F2C"/>
    <w:rsid w:val="00F16149"/>
    <w:rsid w:val="00F436C5"/>
    <w:rsid w:val="00F606AC"/>
    <w:rsid w:val="00F66FB2"/>
    <w:rsid w:val="00F9523E"/>
    <w:rsid w:val="00FA20F8"/>
    <w:rsid w:val="00FA269A"/>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D78A39-90AE-4A46-AA30-ED5C416D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4E2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qFormat/>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1"/>
      </w:numPr>
    </w:pPr>
  </w:style>
  <w:style w:type="numbering" w:customStyle="1" w:styleId="Hallituspartnerit">
    <w:name w:val="Hallituspartnerit"/>
    <w:uiPriority w:val="99"/>
    <w:rsid w:val="00794068"/>
    <w:pPr>
      <w:numPr>
        <w:numId w:val="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3"/>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3B76" w:themeColor="accent1" w:themeShade="BF"/>
      <w:sz w:val="28"/>
      <w:szCs w:val="28"/>
      <w:lang w:eastAsia="en-US"/>
    </w:rPr>
  </w:style>
  <w:style w:type="character" w:styleId="Hienovarainenkorostus">
    <w:name w:val="Subtle Emphasis"/>
    <w:basedOn w:val="Kappaleenoletusfontti"/>
    <w:uiPriority w:val="65"/>
    <w:qFormat/>
    <w:rsid w:val="00124E23"/>
    <w:rPr>
      <w:i/>
      <w:iCs/>
      <w:color w:val="808080" w:themeColor="text1" w:themeTint="7F"/>
    </w:rPr>
  </w:style>
  <w:style w:type="table" w:styleId="TaulukkoRuudukko">
    <w:name w:val="Table Grid"/>
    <w:basedOn w:val="Normaalitaulukko"/>
    <w:uiPriority w:val="59"/>
    <w:rsid w:val="00DA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Normaali"/>
    <w:next w:val="Normaali"/>
    <w:rsid w:val="0088579C"/>
    <w:pPr>
      <w:keepNext/>
      <w:overflowPunct w:val="0"/>
      <w:autoSpaceDE w:val="0"/>
      <w:autoSpaceDN w:val="0"/>
      <w:adjustRightInd w:val="0"/>
      <w:spacing w:before="100" w:after="100"/>
      <w:textAlignment w:val="baseline"/>
    </w:pPr>
    <w:rPr>
      <w:rFonts w:ascii="Times New Roman" w:eastAsia="Times New Roman" w:hAnsi="Times New Roman"/>
      <w:b/>
      <w:sz w:val="36"/>
      <w:szCs w:val="20"/>
      <w:lang w:eastAsia="fi-FI"/>
    </w:rPr>
  </w:style>
  <w:style w:type="paragraph" w:customStyle="1" w:styleId="Preformatted">
    <w:name w:val="Preformatted"/>
    <w:basedOn w:val="Normaali"/>
    <w:rsid w:val="0088579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Times New Roman" w:hAnsi="Courier New"/>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Hallituspartnerit_Word-malli</Template>
  <TotalTime>0</TotalTime>
  <Pages>4</Pages>
  <Words>708</Words>
  <Characters>5737</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6433</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Hyvä Ihme Design</dc:creator>
  <cp:lastModifiedBy>Minna Hölttä</cp:lastModifiedBy>
  <cp:revision>2</cp:revision>
  <cp:lastPrinted>2011-08-11T08:48:00Z</cp:lastPrinted>
  <dcterms:created xsi:type="dcterms:W3CDTF">2014-04-23T08:54:00Z</dcterms:created>
  <dcterms:modified xsi:type="dcterms:W3CDTF">2014-04-23T08:54:00Z</dcterms:modified>
</cp:coreProperties>
</file>