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9" w:rsidRPr="00927BA9" w:rsidRDefault="003F725F" w:rsidP="00966D4A">
      <w:pPr>
        <w:pStyle w:val="Otsikko2"/>
        <w:rPr>
          <w:rFonts w:asciiTheme="minorHAnsi" w:hAnsiTheme="minorHAnsi" w:cstheme="minorHAnsi"/>
        </w:rPr>
      </w:pPr>
      <w:bookmarkStart w:id="0" w:name="_Toc356227972"/>
      <w:r>
        <w:rPr>
          <w:rFonts w:asciiTheme="minorHAnsi" w:hAnsiTheme="minorHAnsi" w:cstheme="minorHAnsi"/>
        </w:rPr>
        <w:t>Tausta ja lähtökohdat</w:t>
      </w:r>
      <w:bookmarkEnd w:id="0"/>
    </w:p>
    <w:p w:rsidR="00A72ED3" w:rsidRDefault="000841E7" w:rsidP="00A72ED3">
      <w:pPr>
        <w:rPr>
          <w:szCs w:val="22"/>
        </w:rPr>
      </w:pPr>
      <w:r>
        <w:rPr>
          <w:szCs w:val="22"/>
        </w:rPr>
        <w:t xml:space="preserve">Hallituksen tehtävä on kehittää yhtiötä </w:t>
      </w:r>
      <w:r w:rsidRPr="00B800A4">
        <w:rPr>
          <w:b/>
          <w:szCs w:val="22"/>
        </w:rPr>
        <w:t>omistajien määrittämään suuntaan.</w:t>
      </w:r>
      <w:r>
        <w:rPr>
          <w:szCs w:val="22"/>
        </w:rPr>
        <w:t xml:space="preserve"> Tätä suuntaa voidaan toisaalta mitata yrityksen </w:t>
      </w:r>
      <w:r w:rsidRPr="00B800A4">
        <w:rPr>
          <w:b/>
          <w:szCs w:val="22"/>
        </w:rPr>
        <w:t>arvon matemaattisena kehittymisenä</w:t>
      </w:r>
      <w:r>
        <w:rPr>
          <w:szCs w:val="22"/>
        </w:rPr>
        <w:t xml:space="preserve"> ja toisaalta yrityksen </w:t>
      </w:r>
      <w:r w:rsidR="00565511">
        <w:rPr>
          <w:szCs w:val="22"/>
        </w:rPr>
        <w:t xml:space="preserve">omistajan </w:t>
      </w:r>
      <w:r w:rsidRPr="00B800A4">
        <w:rPr>
          <w:b/>
          <w:szCs w:val="22"/>
        </w:rPr>
        <w:t>kuntotestinä.</w:t>
      </w:r>
      <w:r>
        <w:rPr>
          <w:szCs w:val="22"/>
        </w:rPr>
        <w:t xml:space="preserve"> </w:t>
      </w:r>
      <w:r w:rsidR="00B800A4" w:rsidRPr="000C0E4B">
        <w:rPr>
          <w:b/>
          <w:szCs w:val="22"/>
        </w:rPr>
        <w:t>Kuntotestin</w:t>
      </w:r>
      <w:r w:rsidR="00B800A4">
        <w:rPr>
          <w:szCs w:val="22"/>
        </w:rPr>
        <w:t xml:space="preserve"> peruslähtökohtana on </w:t>
      </w:r>
      <w:r w:rsidR="00A72ED3">
        <w:rPr>
          <w:szCs w:val="22"/>
        </w:rPr>
        <w:t xml:space="preserve">kaksi asiaa: </w:t>
      </w:r>
    </w:p>
    <w:p w:rsidR="000841E7" w:rsidRPr="000C0E4B" w:rsidRDefault="00A72ED3" w:rsidP="000C0E4B">
      <w:pPr>
        <w:pStyle w:val="Luettelokappale"/>
        <w:numPr>
          <w:ilvl w:val="0"/>
          <w:numId w:val="23"/>
        </w:numPr>
        <w:rPr>
          <w:szCs w:val="22"/>
        </w:rPr>
      </w:pPr>
      <w:r w:rsidRPr="000C0E4B">
        <w:rPr>
          <w:szCs w:val="22"/>
        </w:rPr>
        <w:t xml:space="preserve">ensinnäkin </w:t>
      </w:r>
      <w:r w:rsidR="00B800A4" w:rsidRPr="000C0E4B">
        <w:rPr>
          <w:b/>
          <w:szCs w:val="22"/>
        </w:rPr>
        <w:t xml:space="preserve">yritys </w:t>
      </w:r>
      <w:r w:rsidRPr="000C0E4B">
        <w:rPr>
          <w:b/>
          <w:szCs w:val="22"/>
        </w:rPr>
        <w:t xml:space="preserve">tulisi olla </w:t>
      </w:r>
      <w:r w:rsidR="00B800A4" w:rsidRPr="000C0E4B">
        <w:rPr>
          <w:b/>
          <w:szCs w:val="22"/>
        </w:rPr>
        <w:t>ostettavissa</w:t>
      </w:r>
      <w:r w:rsidR="000C0E4B" w:rsidRPr="000C0E4B">
        <w:rPr>
          <w:b/>
          <w:szCs w:val="22"/>
        </w:rPr>
        <w:t xml:space="preserve">. </w:t>
      </w:r>
      <w:r w:rsidR="00824BC4" w:rsidRPr="000C0E4B">
        <w:rPr>
          <w:szCs w:val="22"/>
        </w:rPr>
        <w:t>Toisin sanoen, vaikka yritys ei olisikaan myynnissä</w:t>
      </w:r>
      <w:r w:rsidR="00966D4A" w:rsidRPr="000C0E4B">
        <w:rPr>
          <w:szCs w:val="22"/>
        </w:rPr>
        <w:t>,</w:t>
      </w:r>
      <w:r w:rsidR="00824BC4" w:rsidRPr="000C0E4B">
        <w:rPr>
          <w:szCs w:val="22"/>
        </w:rPr>
        <w:t xml:space="preserve"> niin sen toiminnat tulis</w:t>
      </w:r>
      <w:r w:rsidR="00966D4A" w:rsidRPr="000C0E4B">
        <w:rPr>
          <w:szCs w:val="22"/>
        </w:rPr>
        <w:t>i</w:t>
      </w:r>
      <w:r w:rsidR="00824BC4" w:rsidRPr="000C0E4B">
        <w:rPr>
          <w:szCs w:val="22"/>
        </w:rPr>
        <w:t xml:space="preserve"> olla </w:t>
      </w:r>
      <w:r w:rsidR="00966D4A" w:rsidRPr="000C0E4B">
        <w:rPr>
          <w:szCs w:val="22"/>
        </w:rPr>
        <w:t>siten</w:t>
      </w:r>
      <w:r w:rsidR="00824BC4" w:rsidRPr="000C0E4B">
        <w:rPr>
          <w:szCs w:val="22"/>
        </w:rPr>
        <w:t xml:space="preserve"> jär</w:t>
      </w:r>
      <w:r w:rsidR="00966D4A" w:rsidRPr="000C0E4B">
        <w:rPr>
          <w:szCs w:val="22"/>
        </w:rPr>
        <w:t>j</w:t>
      </w:r>
      <w:r w:rsidR="00824BC4" w:rsidRPr="000C0E4B">
        <w:rPr>
          <w:szCs w:val="22"/>
        </w:rPr>
        <w:t>estetty, että se vo</w:t>
      </w:r>
      <w:r w:rsidR="00966D4A" w:rsidRPr="000C0E4B">
        <w:rPr>
          <w:szCs w:val="22"/>
        </w:rPr>
        <w:t>i</w:t>
      </w:r>
      <w:r w:rsidR="00824BC4" w:rsidRPr="000C0E4B">
        <w:rPr>
          <w:szCs w:val="22"/>
        </w:rPr>
        <w:t xml:space="preserve">si olla </w:t>
      </w:r>
      <w:r w:rsidR="003F725F" w:rsidRPr="000C0E4B">
        <w:rPr>
          <w:szCs w:val="22"/>
        </w:rPr>
        <w:t xml:space="preserve">helposti </w:t>
      </w:r>
      <w:r w:rsidR="00824BC4" w:rsidRPr="000C0E4B">
        <w:rPr>
          <w:szCs w:val="22"/>
        </w:rPr>
        <w:t>ostettavissa.</w:t>
      </w:r>
      <w:r w:rsidR="00B800A4" w:rsidRPr="000C0E4B">
        <w:rPr>
          <w:szCs w:val="22"/>
        </w:rPr>
        <w:t xml:space="preserve"> </w:t>
      </w:r>
      <w:r w:rsidR="000841E7" w:rsidRPr="000C0E4B">
        <w:rPr>
          <w:szCs w:val="22"/>
        </w:rPr>
        <w:t xml:space="preserve"> </w:t>
      </w:r>
    </w:p>
    <w:p w:rsidR="000841E7" w:rsidRPr="00A72ED3" w:rsidRDefault="00A72ED3" w:rsidP="00A72ED3">
      <w:pPr>
        <w:pStyle w:val="Luettelokappale"/>
        <w:numPr>
          <w:ilvl w:val="0"/>
          <w:numId w:val="23"/>
        </w:numPr>
        <w:rPr>
          <w:szCs w:val="22"/>
        </w:rPr>
      </w:pPr>
      <w:r w:rsidRPr="00A72ED3">
        <w:rPr>
          <w:szCs w:val="22"/>
        </w:rPr>
        <w:t xml:space="preserve">toisaalta yritys tulisi kehittää jatkuvasti </w:t>
      </w:r>
      <w:r w:rsidRPr="00A72ED3">
        <w:rPr>
          <w:b/>
          <w:szCs w:val="22"/>
        </w:rPr>
        <w:t>omistajien viitoittamaan suuntaan</w:t>
      </w:r>
      <w:r>
        <w:rPr>
          <w:b/>
          <w:szCs w:val="22"/>
        </w:rPr>
        <w:t>.</w:t>
      </w:r>
    </w:p>
    <w:p w:rsidR="00A72ED3" w:rsidRDefault="00A72ED3" w:rsidP="00A72ED3">
      <w:pPr>
        <w:rPr>
          <w:szCs w:val="22"/>
        </w:rPr>
      </w:pPr>
    </w:p>
    <w:p w:rsidR="00A72ED3" w:rsidRPr="00A72ED3" w:rsidRDefault="00A72ED3" w:rsidP="00A72ED3">
      <w:pPr>
        <w:rPr>
          <w:szCs w:val="22"/>
        </w:rPr>
      </w:pPr>
      <w:r>
        <w:rPr>
          <w:szCs w:val="22"/>
        </w:rPr>
        <w:t>Näihin lähtökohtiin perustuu seuraava lisäarvon määrittely:</w:t>
      </w:r>
    </w:p>
    <w:p w:rsidR="0041008F" w:rsidRPr="000841E7" w:rsidRDefault="000841E7" w:rsidP="00966D4A">
      <w:pPr>
        <w:pStyle w:val="Otsikko2"/>
        <w:rPr>
          <w:rFonts w:asciiTheme="minorHAnsi" w:hAnsiTheme="minorHAnsi" w:cstheme="minorHAnsi"/>
        </w:rPr>
      </w:pPr>
      <w:r w:rsidRPr="000841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Hallituksen tuottama lisäarvo</w:t>
      </w:r>
    </w:p>
    <w:p w:rsidR="007836DA" w:rsidRPr="007836DA" w:rsidRDefault="007836DA" w:rsidP="007836DA">
      <w:pPr>
        <w:rPr>
          <w:color w:val="00274F" w:themeColor="accent1" w:themeShade="80"/>
          <w:lang w:eastAsia="fi-FI"/>
        </w:rPr>
      </w:pPr>
    </w:p>
    <w:p w:rsidR="00565511" w:rsidRDefault="00565511" w:rsidP="00565511">
      <w:pPr>
        <w:pStyle w:val="Otsikko2"/>
        <w:numPr>
          <w:ilvl w:val="0"/>
          <w:numId w:val="24"/>
        </w:numPr>
        <w:spacing w:before="0" w:after="0"/>
        <w:rPr>
          <w:rFonts w:asciiTheme="minorHAnsi" w:hAnsiTheme="minorHAnsi" w:cstheme="minorHAnsi"/>
          <w:b w:val="0"/>
          <w:color w:val="00274F" w:themeColor="accent1" w:themeShade="80"/>
          <w:sz w:val="22"/>
        </w:rPr>
      </w:pPr>
      <w:r w:rsidRPr="007836DA">
        <w:rPr>
          <w:rFonts w:asciiTheme="minorHAnsi" w:hAnsiTheme="minorHAnsi" w:cstheme="minorHAnsi"/>
          <w:color w:val="00274F" w:themeColor="accent1" w:themeShade="80"/>
          <w:sz w:val="22"/>
        </w:rPr>
        <w:t>Yrityksen kunto</w:t>
      </w:r>
      <w:r>
        <w:rPr>
          <w:rFonts w:asciiTheme="minorHAnsi" w:hAnsiTheme="minorHAnsi" w:cstheme="minorHAnsi"/>
          <w:color w:val="00274F" w:themeColor="accent1" w:themeShade="80"/>
          <w:sz w:val="22"/>
        </w:rPr>
        <w:t xml:space="preserve"> </w:t>
      </w:r>
      <w:r w:rsidRPr="000C0E4B">
        <w:rPr>
          <w:rFonts w:asciiTheme="minorHAnsi" w:hAnsiTheme="minorHAnsi" w:cstheme="minorHAnsi"/>
          <w:color w:val="00274F" w:themeColor="accent1" w:themeShade="80"/>
          <w:sz w:val="16"/>
        </w:rPr>
        <w:t>(</w:t>
      </w:r>
      <w:r w:rsidRPr="000C0E4B">
        <w:rPr>
          <w:rFonts w:asciiTheme="minorHAnsi" w:hAnsiTheme="minorHAnsi" w:cstheme="minorHAnsi"/>
          <w:b w:val="0"/>
          <w:color w:val="00274F" w:themeColor="accent1" w:themeShade="80"/>
          <w:sz w:val="16"/>
        </w:rPr>
        <w:t xml:space="preserve">Excel; </w:t>
      </w:r>
      <w:r w:rsidRPr="000C0E4B">
        <w:rPr>
          <w:rFonts w:asciiTheme="minorHAnsi" w:hAnsiTheme="minorHAnsi" w:cstheme="minorHAnsi"/>
          <w:b w:val="0"/>
          <w:color w:val="FF0000"/>
          <w:sz w:val="12"/>
        </w:rPr>
        <w:t xml:space="preserve">Yrityksen </w:t>
      </w:r>
      <w:proofErr w:type="spellStart"/>
      <w:r w:rsidRPr="000C0E4B">
        <w:rPr>
          <w:rFonts w:asciiTheme="minorHAnsi" w:hAnsiTheme="minorHAnsi" w:cstheme="minorHAnsi"/>
          <w:b w:val="0"/>
          <w:color w:val="FF0000"/>
          <w:sz w:val="12"/>
        </w:rPr>
        <w:t>kuntokortti_hallituksen</w:t>
      </w:r>
      <w:proofErr w:type="spellEnd"/>
      <w:r w:rsidRPr="000C0E4B">
        <w:rPr>
          <w:rFonts w:asciiTheme="minorHAnsi" w:hAnsiTheme="minorHAnsi" w:cstheme="minorHAnsi"/>
          <w:b w:val="0"/>
          <w:color w:val="FF0000"/>
          <w:sz w:val="12"/>
        </w:rPr>
        <w:t xml:space="preserve"> arviointi_AV_2014_04</w:t>
      </w:r>
      <w:r w:rsidRPr="000C0E4B">
        <w:rPr>
          <w:rFonts w:asciiTheme="minorHAnsi" w:hAnsiTheme="minorHAnsi" w:cstheme="minorHAnsi"/>
          <w:b w:val="0"/>
          <w:color w:val="00274F" w:themeColor="accent1" w:themeShade="80"/>
          <w:sz w:val="16"/>
        </w:rPr>
        <w:t xml:space="preserve">); </w:t>
      </w:r>
    </w:p>
    <w:p w:rsidR="00565511" w:rsidRDefault="00565511" w:rsidP="00565511">
      <w:pPr>
        <w:pStyle w:val="Otsikko2"/>
        <w:spacing w:before="0" w:after="0"/>
        <w:ind w:left="360"/>
        <w:rPr>
          <w:rFonts w:asciiTheme="minorHAnsi" w:hAnsiTheme="minorHAnsi" w:cstheme="minorHAnsi"/>
          <w:b w:val="0"/>
          <w:color w:val="00274F" w:themeColor="accent1" w:themeShade="80"/>
          <w:sz w:val="22"/>
        </w:rPr>
      </w:pPr>
    </w:p>
    <w:p w:rsidR="007836DA" w:rsidRPr="00824BC4" w:rsidRDefault="00824BC4" w:rsidP="00565511">
      <w:pPr>
        <w:pStyle w:val="Otsikko2"/>
        <w:spacing w:before="0" w:after="0"/>
        <w:ind w:left="360"/>
        <w:rPr>
          <w:rFonts w:asciiTheme="minorHAnsi" w:hAnsiTheme="minorHAnsi" w:cstheme="minorHAnsi"/>
          <w:b w:val="0"/>
          <w:color w:val="00274F" w:themeColor="accent1" w:themeShade="80"/>
          <w:sz w:val="22"/>
        </w:rPr>
      </w:pPr>
      <w:r w:rsidRPr="00824BC4">
        <w:rPr>
          <w:rFonts w:asciiTheme="minorHAnsi" w:hAnsiTheme="minorHAnsi" w:cstheme="minorHAnsi"/>
          <w:b w:val="0"/>
          <w:color w:val="00274F" w:themeColor="accent1" w:themeShade="80"/>
          <w:sz w:val="22"/>
        </w:rPr>
        <w:t>Noudatetaanko yhtiössä omistajien viitoittamaa</w:t>
      </w:r>
      <w:r w:rsidR="00966D4A">
        <w:rPr>
          <w:rFonts w:asciiTheme="minorHAnsi" w:hAnsiTheme="minorHAnsi" w:cstheme="minorHAnsi"/>
          <w:b w:val="0"/>
          <w:color w:val="00274F" w:themeColor="accent1" w:themeShade="80"/>
          <w:sz w:val="22"/>
        </w:rPr>
        <w:t xml:space="preserve"> </w:t>
      </w:r>
      <w:r w:rsidRPr="00824BC4">
        <w:rPr>
          <w:rFonts w:asciiTheme="minorHAnsi" w:hAnsiTheme="minorHAnsi" w:cstheme="minorHAnsi"/>
          <w:b w:val="0"/>
          <w:color w:val="00274F" w:themeColor="accent1" w:themeShade="80"/>
          <w:sz w:val="22"/>
        </w:rPr>
        <w:t>suuntaa</w:t>
      </w:r>
      <w:r w:rsidR="00966D4A">
        <w:rPr>
          <w:rFonts w:asciiTheme="minorHAnsi" w:hAnsiTheme="minorHAnsi" w:cstheme="minorHAnsi"/>
          <w:b w:val="0"/>
          <w:color w:val="00274F" w:themeColor="accent1" w:themeShade="80"/>
          <w:sz w:val="22"/>
        </w:rPr>
        <w:t xml:space="preserve"> (a)</w:t>
      </w:r>
      <w:r w:rsidR="00A72ED3">
        <w:rPr>
          <w:rFonts w:asciiTheme="minorHAnsi" w:hAnsiTheme="minorHAnsi" w:cstheme="minorHAnsi"/>
          <w:b w:val="0"/>
          <w:color w:val="00274F" w:themeColor="accent1" w:themeShade="80"/>
          <w:sz w:val="22"/>
        </w:rPr>
        <w:t>,</w:t>
      </w:r>
      <w:r w:rsidRPr="00824BC4">
        <w:rPr>
          <w:rFonts w:asciiTheme="minorHAnsi" w:hAnsiTheme="minorHAnsi" w:cstheme="minorHAnsi"/>
          <w:b w:val="0"/>
          <w:color w:val="00274F" w:themeColor="accent1" w:themeShade="80"/>
          <w:sz w:val="22"/>
        </w:rPr>
        <w:t xml:space="preserve"> ja onko yritys ostettavissa</w:t>
      </w:r>
      <w:r w:rsidR="00966D4A">
        <w:rPr>
          <w:rFonts w:asciiTheme="minorHAnsi" w:hAnsiTheme="minorHAnsi" w:cstheme="minorHAnsi"/>
          <w:b w:val="0"/>
          <w:color w:val="00274F" w:themeColor="accent1" w:themeShade="80"/>
          <w:sz w:val="22"/>
        </w:rPr>
        <w:t xml:space="preserve"> (b)</w:t>
      </w:r>
      <w:r w:rsidRPr="00824BC4">
        <w:rPr>
          <w:rFonts w:asciiTheme="minorHAnsi" w:hAnsiTheme="minorHAnsi" w:cstheme="minorHAnsi"/>
          <w:b w:val="0"/>
          <w:color w:val="00274F" w:themeColor="accent1" w:themeShade="80"/>
          <w:sz w:val="22"/>
        </w:rPr>
        <w:t>:</w:t>
      </w:r>
    </w:p>
    <w:p w:rsidR="007836DA" w:rsidRPr="007836DA" w:rsidRDefault="007836DA" w:rsidP="00565511">
      <w:pPr>
        <w:pStyle w:val="Otsikko2"/>
        <w:numPr>
          <w:ilvl w:val="1"/>
          <w:numId w:val="15"/>
        </w:numPr>
        <w:spacing w:before="0" w:after="0"/>
        <w:ind w:left="1080"/>
        <w:rPr>
          <w:rFonts w:asciiTheme="minorHAnsi" w:hAnsiTheme="minorHAnsi" w:cstheme="minorHAnsi"/>
          <w:color w:val="00274F" w:themeColor="accent1" w:themeShade="80"/>
          <w:sz w:val="22"/>
        </w:rPr>
      </w:pPr>
      <w:r w:rsidRPr="007836DA">
        <w:rPr>
          <w:rFonts w:asciiTheme="minorHAnsi" w:hAnsiTheme="minorHAnsi" w:cstheme="minorHAnsi"/>
          <w:color w:val="00274F" w:themeColor="accent1" w:themeShade="80"/>
          <w:sz w:val="22"/>
        </w:rPr>
        <w:t>Omistajien tahto</w:t>
      </w:r>
    </w:p>
    <w:p w:rsidR="007836DA" w:rsidRPr="00D43459" w:rsidRDefault="007836DA" w:rsidP="00565511">
      <w:pPr>
        <w:pStyle w:val="Eivli"/>
        <w:numPr>
          <w:ilvl w:val="2"/>
          <w:numId w:val="15"/>
        </w:numPr>
        <w:ind w:left="1800"/>
        <w:rPr>
          <w:sz w:val="24"/>
          <w:szCs w:val="28"/>
          <w:lang w:val="fi-FI"/>
        </w:rPr>
      </w:pPr>
      <w:r w:rsidRPr="00D43459">
        <w:rPr>
          <w:sz w:val="24"/>
          <w:szCs w:val="28"/>
          <w:lang w:val="fi-FI"/>
        </w:rPr>
        <w:t>Onko omistajan tahto selvä</w:t>
      </w:r>
      <w:r w:rsidR="00A72ED3">
        <w:rPr>
          <w:sz w:val="24"/>
          <w:szCs w:val="28"/>
          <w:lang w:val="fi-FI"/>
        </w:rPr>
        <w:t>?</w:t>
      </w:r>
    </w:p>
    <w:p w:rsidR="007836DA" w:rsidRPr="00D43459" w:rsidRDefault="007836DA" w:rsidP="00565511">
      <w:pPr>
        <w:pStyle w:val="Eivli"/>
        <w:numPr>
          <w:ilvl w:val="2"/>
          <w:numId w:val="15"/>
        </w:numPr>
        <w:ind w:left="1800"/>
        <w:rPr>
          <w:sz w:val="24"/>
          <w:szCs w:val="28"/>
          <w:lang w:val="fi-FI"/>
        </w:rPr>
      </w:pPr>
      <w:r w:rsidRPr="00D43459">
        <w:rPr>
          <w:sz w:val="24"/>
          <w:szCs w:val="28"/>
          <w:lang w:val="fi-FI"/>
        </w:rPr>
        <w:t>Huomioidaanko omistajan tahto toiminnassa</w:t>
      </w:r>
      <w:r w:rsidR="00A72ED3">
        <w:rPr>
          <w:sz w:val="24"/>
          <w:szCs w:val="28"/>
          <w:lang w:val="fi-FI"/>
        </w:rPr>
        <w:t>?</w:t>
      </w:r>
    </w:p>
    <w:p w:rsidR="007836DA" w:rsidRDefault="007836DA" w:rsidP="00565511">
      <w:pPr>
        <w:pStyle w:val="Eivli"/>
        <w:numPr>
          <w:ilvl w:val="2"/>
          <w:numId w:val="15"/>
        </w:numPr>
        <w:ind w:left="1800"/>
        <w:rPr>
          <w:sz w:val="24"/>
          <w:szCs w:val="28"/>
          <w:lang w:val="fi-FI"/>
        </w:rPr>
      </w:pPr>
      <w:r>
        <w:rPr>
          <w:sz w:val="24"/>
          <w:szCs w:val="28"/>
          <w:lang w:val="fi-FI"/>
        </w:rPr>
        <w:t>Toteuttaako ydinstrategia omistajien tahtoa</w:t>
      </w:r>
      <w:r w:rsidR="00A72ED3">
        <w:rPr>
          <w:sz w:val="24"/>
          <w:szCs w:val="28"/>
          <w:lang w:val="fi-FI"/>
        </w:rPr>
        <w:t>?</w:t>
      </w:r>
    </w:p>
    <w:p w:rsidR="00565511" w:rsidRDefault="00565511" w:rsidP="00565511">
      <w:pPr>
        <w:pStyle w:val="Eivli"/>
        <w:numPr>
          <w:ilvl w:val="2"/>
          <w:numId w:val="15"/>
        </w:numPr>
        <w:ind w:left="1800"/>
        <w:rPr>
          <w:sz w:val="24"/>
          <w:szCs w:val="28"/>
          <w:lang w:val="fi-FI"/>
        </w:rPr>
      </w:pPr>
      <w:r w:rsidRPr="00D43459">
        <w:rPr>
          <w:sz w:val="24"/>
          <w:szCs w:val="28"/>
          <w:lang w:val="fi-FI"/>
        </w:rPr>
        <w:t>Onko yrityk</w:t>
      </w:r>
      <w:r>
        <w:rPr>
          <w:sz w:val="24"/>
          <w:szCs w:val="28"/>
          <w:lang w:val="fi-FI"/>
        </w:rPr>
        <w:t>sen strategia ja strategiaprosessi kunnossa?</w:t>
      </w:r>
    </w:p>
    <w:p w:rsidR="007836DA" w:rsidRPr="00D43459" w:rsidRDefault="007836DA" w:rsidP="00565511">
      <w:pPr>
        <w:rPr>
          <w:lang w:eastAsia="fi-FI"/>
        </w:rPr>
      </w:pPr>
    </w:p>
    <w:p w:rsidR="007836DA" w:rsidRPr="007836DA" w:rsidRDefault="007836DA" w:rsidP="00565511">
      <w:pPr>
        <w:pStyle w:val="Otsikko2"/>
        <w:numPr>
          <w:ilvl w:val="1"/>
          <w:numId w:val="15"/>
        </w:numPr>
        <w:spacing w:before="0" w:after="0"/>
        <w:ind w:left="1080"/>
        <w:rPr>
          <w:rFonts w:asciiTheme="minorHAnsi" w:hAnsiTheme="minorHAnsi" w:cstheme="minorHAnsi"/>
          <w:color w:val="00274F" w:themeColor="accent1" w:themeShade="80"/>
          <w:sz w:val="22"/>
        </w:rPr>
      </w:pPr>
      <w:r w:rsidRPr="007836DA">
        <w:rPr>
          <w:rFonts w:asciiTheme="minorHAnsi" w:hAnsiTheme="minorHAnsi" w:cstheme="minorHAnsi"/>
          <w:color w:val="00274F" w:themeColor="accent1" w:themeShade="80"/>
          <w:sz w:val="22"/>
        </w:rPr>
        <w:t>Yritys ostettavissa</w:t>
      </w:r>
    </w:p>
    <w:p w:rsidR="00EF3F5C" w:rsidRPr="00565511" w:rsidRDefault="00EF3F5C" w:rsidP="00565511">
      <w:pPr>
        <w:pStyle w:val="Eivli"/>
        <w:numPr>
          <w:ilvl w:val="2"/>
          <w:numId w:val="15"/>
        </w:numPr>
        <w:ind w:left="1800"/>
        <w:rPr>
          <w:strike/>
          <w:sz w:val="24"/>
          <w:szCs w:val="28"/>
          <w:lang w:val="fi-FI"/>
        </w:rPr>
      </w:pPr>
      <w:r w:rsidRPr="00565511">
        <w:rPr>
          <w:strike/>
          <w:sz w:val="24"/>
          <w:szCs w:val="28"/>
          <w:lang w:val="fi-FI"/>
        </w:rPr>
        <w:t>Kehitetäänkö yrityksen liiketoimintaa</w:t>
      </w:r>
      <w:r w:rsidR="00BF7FF4" w:rsidRPr="00565511">
        <w:rPr>
          <w:strike/>
          <w:sz w:val="24"/>
          <w:szCs w:val="28"/>
          <w:lang w:val="fi-FI"/>
        </w:rPr>
        <w:t xml:space="preserve"> jatkuvasti</w:t>
      </w:r>
      <w:r w:rsidR="00A72ED3" w:rsidRPr="00565511">
        <w:rPr>
          <w:strike/>
          <w:sz w:val="24"/>
          <w:szCs w:val="28"/>
          <w:lang w:val="fi-FI"/>
        </w:rPr>
        <w:t>?</w:t>
      </w:r>
    </w:p>
    <w:p w:rsidR="00BF7FF4" w:rsidRDefault="00565511" w:rsidP="00565511">
      <w:pPr>
        <w:pStyle w:val="Eivli"/>
        <w:numPr>
          <w:ilvl w:val="2"/>
          <w:numId w:val="15"/>
        </w:numPr>
        <w:ind w:left="1800"/>
        <w:rPr>
          <w:sz w:val="24"/>
          <w:szCs w:val="28"/>
          <w:lang w:val="fi-FI"/>
        </w:rPr>
      </w:pPr>
      <w:r>
        <w:rPr>
          <w:sz w:val="24"/>
          <w:szCs w:val="28"/>
          <w:lang w:val="fi-FI"/>
        </w:rPr>
        <w:t>Johtamisjärjestelmä, raportointi, ihmiset ja osaaminen</w:t>
      </w:r>
    </w:p>
    <w:p w:rsidR="00565511" w:rsidRDefault="00565511" w:rsidP="00565511">
      <w:pPr>
        <w:pStyle w:val="Eivli"/>
        <w:numPr>
          <w:ilvl w:val="3"/>
          <w:numId w:val="22"/>
        </w:numPr>
        <w:ind w:left="2160"/>
        <w:rPr>
          <w:sz w:val="24"/>
          <w:szCs w:val="28"/>
          <w:lang w:val="fi-FI"/>
        </w:rPr>
      </w:pPr>
      <w:r>
        <w:rPr>
          <w:sz w:val="24"/>
          <w:szCs w:val="28"/>
          <w:lang w:val="fi-FI"/>
        </w:rPr>
        <w:t>Hallitus</w:t>
      </w:r>
    </w:p>
    <w:p w:rsidR="00565511" w:rsidRDefault="00565511" w:rsidP="00565511">
      <w:pPr>
        <w:pStyle w:val="Eivli"/>
        <w:numPr>
          <w:ilvl w:val="3"/>
          <w:numId w:val="22"/>
        </w:numPr>
        <w:ind w:left="2160"/>
        <w:rPr>
          <w:sz w:val="24"/>
          <w:szCs w:val="28"/>
          <w:lang w:val="fi-FI"/>
        </w:rPr>
      </w:pPr>
      <w:r>
        <w:rPr>
          <w:sz w:val="24"/>
          <w:szCs w:val="28"/>
          <w:lang w:val="fi-FI"/>
        </w:rPr>
        <w:t>Johtoryhmä</w:t>
      </w:r>
    </w:p>
    <w:p w:rsidR="007836DA" w:rsidRPr="00CF3C9C" w:rsidRDefault="007836DA" w:rsidP="00565511">
      <w:pPr>
        <w:pStyle w:val="Eivli"/>
        <w:numPr>
          <w:ilvl w:val="4"/>
          <w:numId w:val="22"/>
        </w:numPr>
        <w:rPr>
          <w:sz w:val="22"/>
          <w:szCs w:val="28"/>
          <w:lang w:val="fi-FI"/>
        </w:rPr>
      </w:pPr>
      <w:r w:rsidRPr="00CF3C9C">
        <w:rPr>
          <w:sz w:val="22"/>
          <w:szCs w:val="28"/>
          <w:lang w:val="fi-FI"/>
        </w:rPr>
        <w:t>Onko yrityksessä toimiva johtamisjärjestelmä</w:t>
      </w:r>
      <w:r w:rsidR="00A72ED3" w:rsidRPr="00CF3C9C">
        <w:rPr>
          <w:sz w:val="22"/>
          <w:szCs w:val="28"/>
          <w:lang w:val="fi-FI"/>
        </w:rPr>
        <w:t>?</w:t>
      </w:r>
    </w:p>
    <w:p w:rsidR="007836DA" w:rsidRPr="00CF3C9C" w:rsidRDefault="007836DA" w:rsidP="00565511">
      <w:pPr>
        <w:pStyle w:val="Eivli"/>
        <w:numPr>
          <w:ilvl w:val="5"/>
          <w:numId w:val="22"/>
        </w:numPr>
        <w:rPr>
          <w:sz w:val="22"/>
          <w:szCs w:val="28"/>
          <w:lang w:val="fi-FI"/>
        </w:rPr>
      </w:pPr>
      <w:r w:rsidRPr="00CF3C9C">
        <w:rPr>
          <w:sz w:val="22"/>
          <w:szCs w:val="28"/>
          <w:lang w:val="fi-FI"/>
        </w:rPr>
        <w:t>Voidaanko toimia ilman omistajia</w:t>
      </w:r>
      <w:r w:rsidR="00A72ED3" w:rsidRPr="00CF3C9C">
        <w:rPr>
          <w:sz w:val="22"/>
          <w:szCs w:val="28"/>
          <w:lang w:val="fi-FI"/>
        </w:rPr>
        <w:t>?</w:t>
      </w:r>
    </w:p>
    <w:p w:rsidR="007836DA" w:rsidRPr="00D43459" w:rsidRDefault="007836DA" w:rsidP="00565511">
      <w:pPr>
        <w:pStyle w:val="Eivli"/>
        <w:numPr>
          <w:ilvl w:val="3"/>
          <w:numId w:val="22"/>
        </w:numPr>
        <w:ind w:left="2160"/>
        <w:rPr>
          <w:sz w:val="24"/>
          <w:szCs w:val="28"/>
          <w:lang w:val="fi-FI"/>
        </w:rPr>
      </w:pPr>
      <w:r w:rsidRPr="00D43459">
        <w:rPr>
          <w:sz w:val="24"/>
          <w:szCs w:val="28"/>
          <w:lang w:val="fi-FI"/>
        </w:rPr>
        <w:t>Toimiva raportointijärjestelmä</w:t>
      </w:r>
      <w:r w:rsidR="00A72ED3">
        <w:rPr>
          <w:sz w:val="24"/>
          <w:szCs w:val="28"/>
          <w:lang w:val="fi-FI"/>
        </w:rPr>
        <w:t>?</w:t>
      </w:r>
    </w:p>
    <w:p w:rsidR="00565511" w:rsidRDefault="00565511" w:rsidP="00565511">
      <w:pPr>
        <w:pStyle w:val="Eivli"/>
        <w:numPr>
          <w:ilvl w:val="4"/>
          <w:numId w:val="22"/>
        </w:numPr>
        <w:rPr>
          <w:sz w:val="24"/>
          <w:szCs w:val="28"/>
          <w:lang w:val="fi-FI"/>
        </w:rPr>
      </w:pPr>
      <w:r w:rsidRPr="00D43459">
        <w:rPr>
          <w:sz w:val="24"/>
          <w:szCs w:val="28"/>
          <w:lang w:val="fi-FI"/>
        </w:rPr>
        <w:t xml:space="preserve">Onko </w:t>
      </w:r>
      <w:r>
        <w:rPr>
          <w:sz w:val="24"/>
          <w:szCs w:val="28"/>
          <w:lang w:val="fi-FI"/>
        </w:rPr>
        <w:t xml:space="preserve">yrityksen </w:t>
      </w:r>
      <w:r w:rsidRPr="00D43459">
        <w:rPr>
          <w:sz w:val="24"/>
          <w:szCs w:val="28"/>
          <w:lang w:val="fi-FI"/>
        </w:rPr>
        <w:t>tase kunnossa</w:t>
      </w:r>
      <w:r>
        <w:rPr>
          <w:sz w:val="24"/>
          <w:szCs w:val="28"/>
          <w:lang w:val="fi-FI"/>
        </w:rPr>
        <w:t>?</w:t>
      </w:r>
    </w:p>
    <w:p w:rsidR="002E6366" w:rsidRPr="00D43459" w:rsidRDefault="002E6366" w:rsidP="002E6366">
      <w:pPr>
        <w:pStyle w:val="Eivli"/>
        <w:ind w:left="3600"/>
        <w:rPr>
          <w:sz w:val="24"/>
          <w:szCs w:val="28"/>
          <w:lang w:val="fi-FI"/>
        </w:rPr>
      </w:pPr>
    </w:p>
    <w:p w:rsidR="00197F17" w:rsidRDefault="00197F17" w:rsidP="00197F17">
      <w:pPr>
        <w:pStyle w:val="Eivli"/>
        <w:ind w:left="-284"/>
        <w:rPr>
          <w:sz w:val="24"/>
          <w:szCs w:val="28"/>
          <w:lang w:val="fi-FI"/>
        </w:rPr>
      </w:pPr>
      <w:r w:rsidRPr="00197F17">
        <w:rPr>
          <w:noProof/>
          <w:szCs w:val="28"/>
          <w:lang w:val="fi-FI" w:eastAsia="fi-FI" w:bidi="ar-SA"/>
        </w:rPr>
        <w:drawing>
          <wp:inline distT="0" distB="0" distL="0" distR="0">
            <wp:extent cx="5006174" cy="2269773"/>
            <wp:effectExtent l="19050" t="0" r="3976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03" cy="22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31" w:rsidRPr="00B64331" w:rsidRDefault="00B64331" w:rsidP="00B64331">
      <w:pPr>
        <w:pStyle w:val="Otsikko2"/>
        <w:spacing w:before="0" w:after="0"/>
        <w:ind w:left="1080"/>
        <w:rPr>
          <w:rFonts w:asciiTheme="minorHAnsi" w:hAnsiTheme="minorHAnsi" w:cstheme="minorHAnsi"/>
          <w:sz w:val="22"/>
        </w:rPr>
      </w:pPr>
    </w:p>
    <w:p w:rsidR="00824BC4" w:rsidRPr="00824BC4" w:rsidRDefault="00197F17" w:rsidP="00A366D6">
      <w:pPr>
        <w:pStyle w:val="Otsikko2"/>
        <w:numPr>
          <w:ilvl w:val="0"/>
          <w:numId w:val="15"/>
        </w:numPr>
        <w:spacing w:before="0" w:after="0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274F" w:themeColor="accent1" w:themeShade="80"/>
          <w:sz w:val="22"/>
        </w:rPr>
        <w:t>Y</w:t>
      </w:r>
      <w:r w:rsidR="007836DA" w:rsidRPr="007836DA">
        <w:rPr>
          <w:rFonts w:asciiTheme="minorHAnsi" w:hAnsiTheme="minorHAnsi" w:cstheme="minorHAnsi"/>
          <w:color w:val="00274F" w:themeColor="accent1" w:themeShade="80"/>
          <w:sz w:val="22"/>
        </w:rPr>
        <w:t>rityksen m</w:t>
      </w:r>
      <w:r w:rsidR="000841E7" w:rsidRPr="007836DA">
        <w:rPr>
          <w:rFonts w:asciiTheme="minorHAnsi" w:hAnsiTheme="minorHAnsi" w:cstheme="minorHAnsi"/>
          <w:color w:val="00274F" w:themeColor="accent1" w:themeShade="80"/>
          <w:sz w:val="22"/>
        </w:rPr>
        <w:t>atemaattinen arvo</w:t>
      </w:r>
    </w:p>
    <w:p w:rsidR="00A366D6" w:rsidRDefault="00197F17" w:rsidP="00A366D6">
      <w:pPr>
        <w:pStyle w:val="Eivli"/>
        <w:ind w:left="584"/>
        <w:rPr>
          <w:b/>
          <w:sz w:val="24"/>
          <w:szCs w:val="28"/>
          <w:lang w:val="fi-FI"/>
        </w:rPr>
      </w:pPr>
      <w:r w:rsidRPr="00B64331">
        <w:rPr>
          <w:sz w:val="24"/>
          <w:szCs w:val="28"/>
          <w:lang w:val="fi-FI"/>
        </w:rPr>
        <w:t xml:space="preserve">Yrityksen matemaattinen arvo voidaan mitata monella </w:t>
      </w:r>
      <w:r w:rsidR="000C0E4B">
        <w:rPr>
          <w:sz w:val="24"/>
          <w:szCs w:val="28"/>
          <w:lang w:val="fi-FI"/>
        </w:rPr>
        <w:t xml:space="preserve">eri </w:t>
      </w:r>
      <w:r w:rsidRPr="00B64331">
        <w:rPr>
          <w:sz w:val="24"/>
          <w:szCs w:val="28"/>
          <w:lang w:val="fi-FI"/>
        </w:rPr>
        <w:t>tavalla</w:t>
      </w:r>
      <w:r w:rsidR="00F176CA">
        <w:rPr>
          <w:sz w:val="24"/>
          <w:szCs w:val="28"/>
          <w:lang w:val="fi-FI"/>
        </w:rPr>
        <w:t xml:space="preserve"> ja mallilla</w:t>
      </w:r>
      <w:r w:rsidRPr="00B64331">
        <w:rPr>
          <w:sz w:val="24"/>
          <w:szCs w:val="28"/>
          <w:lang w:val="fi-FI"/>
        </w:rPr>
        <w:t xml:space="preserve">. </w:t>
      </w:r>
      <w:r w:rsidR="00F176CA">
        <w:rPr>
          <w:sz w:val="24"/>
          <w:szCs w:val="28"/>
          <w:lang w:val="fi-FI"/>
        </w:rPr>
        <w:t>Erittäin monessa yhtiössä omistajat puhu</w:t>
      </w:r>
      <w:r w:rsidR="000C0E4B">
        <w:rPr>
          <w:sz w:val="24"/>
          <w:szCs w:val="28"/>
          <w:lang w:val="fi-FI"/>
        </w:rPr>
        <w:t>vat</w:t>
      </w:r>
      <w:r w:rsidR="00F176CA">
        <w:rPr>
          <w:sz w:val="24"/>
          <w:szCs w:val="28"/>
          <w:lang w:val="fi-FI"/>
        </w:rPr>
        <w:t xml:space="preserve"> </w:t>
      </w:r>
      <w:r w:rsidR="00F176CA" w:rsidRPr="00F176CA">
        <w:rPr>
          <w:b/>
          <w:sz w:val="24"/>
          <w:szCs w:val="28"/>
          <w:lang w:val="fi-FI"/>
        </w:rPr>
        <w:t>kannattavasta kasvusta</w:t>
      </w:r>
      <w:r w:rsidR="00F176CA">
        <w:rPr>
          <w:sz w:val="24"/>
          <w:szCs w:val="28"/>
          <w:lang w:val="fi-FI"/>
        </w:rPr>
        <w:t>. Totuushan on tietenkin</w:t>
      </w:r>
      <w:r w:rsidR="000C0E4B">
        <w:rPr>
          <w:sz w:val="24"/>
          <w:szCs w:val="28"/>
          <w:lang w:val="fi-FI"/>
        </w:rPr>
        <w:t xml:space="preserve"> </w:t>
      </w:r>
      <w:r w:rsidR="00F176CA">
        <w:rPr>
          <w:sz w:val="24"/>
          <w:szCs w:val="28"/>
          <w:lang w:val="fi-FI"/>
        </w:rPr>
        <w:t xml:space="preserve">se, että elääkseen yhtiön on tehtävä tulosta ja varsinkin inflaatioaikoina yrityksen on </w:t>
      </w:r>
      <w:r w:rsidR="00F176CA">
        <w:rPr>
          <w:sz w:val="24"/>
          <w:szCs w:val="28"/>
          <w:lang w:val="fi-FI"/>
        </w:rPr>
        <w:lastRenderedPageBreak/>
        <w:t xml:space="preserve">kasvettava. Näistä lähtökohdista on omistajien mittariksi valittu yrityksen </w:t>
      </w:r>
      <w:r w:rsidRPr="00B64331">
        <w:rPr>
          <w:b/>
          <w:sz w:val="24"/>
          <w:szCs w:val="28"/>
          <w:lang w:val="fi-FI"/>
        </w:rPr>
        <w:t>tuottoarvo</w:t>
      </w:r>
      <w:r w:rsidRPr="00B64331">
        <w:rPr>
          <w:sz w:val="24"/>
          <w:szCs w:val="28"/>
          <w:lang w:val="fi-FI"/>
        </w:rPr>
        <w:t xml:space="preserve"> ja yrityksen </w:t>
      </w:r>
      <w:r w:rsidR="00F176CA">
        <w:rPr>
          <w:b/>
          <w:sz w:val="24"/>
          <w:szCs w:val="28"/>
          <w:lang w:val="fi-FI"/>
        </w:rPr>
        <w:t xml:space="preserve">kasvu. </w:t>
      </w:r>
    </w:p>
    <w:p w:rsidR="00A366D6" w:rsidRDefault="00A366D6" w:rsidP="00B64331">
      <w:pPr>
        <w:pStyle w:val="Eivli"/>
        <w:ind w:left="1304"/>
        <w:rPr>
          <w:b/>
          <w:sz w:val="24"/>
          <w:szCs w:val="28"/>
          <w:lang w:val="fi-FI"/>
        </w:rPr>
      </w:pPr>
    </w:p>
    <w:p w:rsidR="00A366D6" w:rsidRDefault="00A366D6" w:rsidP="00A366D6">
      <w:pPr>
        <w:pStyle w:val="Eivli"/>
        <w:ind w:left="1304" w:hanging="737"/>
        <w:rPr>
          <w:b/>
          <w:sz w:val="24"/>
          <w:szCs w:val="28"/>
          <w:lang w:val="fi-FI"/>
        </w:rPr>
      </w:pPr>
      <w:r w:rsidRPr="00A366D6">
        <w:rPr>
          <w:noProof/>
          <w:szCs w:val="28"/>
          <w:lang w:val="fi-FI" w:eastAsia="fi-FI" w:bidi="ar-SA"/>
        </w:rPr>
        <w:drawing>
          <wp:inline distT="0" distB="0" distL="0" distR="0">
            <wp:extent cx="4950516" cy="1964288"/>
            <wp:effectExtent l="19050" t="0" r="2484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35" cy="19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D6" w:rsidRDefault="00A366D6" w:rsidP="00B64331">
      <w:pPr>
        <w:pStyle w:val="Eivli"/>
        <w:ind w:left="1304"/>
        <w:rPr>
          <w:b/>
          <w:sz w:val="24"/>
          <w:szCs w:val="28"/>
          <w:lang w:val="fi-FI"/>
        </w:rPr>
      </w:pPr>
    </w:p>
    <w:p w:rsidR="00A366D6" w:rsidRDefault="00A366D6" w:rsidP="00A366D6">
      <w:pPr>
        <w:pStyle w:val="Eivli"/>
        <w:ind w:left="1304" w:hanging="737"/>
        <w:rPr>
          <w:b/>
          <w:sz w:val="24"/>
          <w:szCs w:val="28"/>
          <w:lang w:val="fi-FI"/>
        </w:rPr>
      </w:pPr>
      <w:r w:rsidRPr="00A366D6">
        <w:rPr>
          <w:noProof/>
          <w:szCs w:val="28"/>
          <w:lang w:val="fi-FI" w:eastAsia="fi-FI" w:bidi="ar-SA"/>
        </w:rPr>
        <w:drawing>
          <wp:inline distT="0" distB="0" distL="0" distR="0">
            <wp:extent cx="4948611" cy="1701612"/>
            <wp:effectExtent l="19050" t="0" r="4389" b="0"/>
            <wp:docPr id="5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80" cy="17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D6" w:rsidRDefault="00A366D6" w:rsidP="00B64331">
      <w:pPr>
        <w:pStyle w:val="Eivli"/>
        <w:ind w:left="1304"/>
        <w:rPr>
          <w:b/>
          <w:sz w:val="24"/>
          <w:szCs w:val="28"/>
          <w:lang w:val="fi-FI"/>
        </w:rPr>
      </w:pPr>
    </w:p>
    <w:p w:rsidR="00CF3C9C" w:rsidRDefault="00A366D6" w:rsidP="00A366D6">
      <w:pPr>
        <w:pStyle w:val="Eivli"/>
        <w:ind w:left="720"/>
        <w:rPr>
          <w:b/>
          <w:sz w:val="24"/>
          <w:szCs w:val="28"/>
          <w:lang w:val="fi-FI"/>
        </w:rPr>
      </w:pPr>
      <w:r w:rsidRPr="00A366D6">
        <w:rPr>
          <w:sz w:val="24"/>
          <w:szCs w:val="28"/>
          <w:lang w:val="fi-FI"/>
        </w:rPr>
        <w:t>Tuotto- ja kasvuarvojen ulkopuolelle jää kuitenkin paljon omistajille tärkeitä arvoja</w:t>
      </w:r>
      <w:r>
        <w:rPr>
          <w:sz w:val="24"/>
          <w:szCs w:val="28"/>
          <w:lang w:val="fi-FI"/>
        </w:rPr>
        <w:t xml:space="preserve"> </w:t>
      </w:r>
      <w:r w:rsidR="000C0E4B">
        <w:rPr>
          <w:sz w:val="24"/>
          <w:szCs w:val="28"/>
          <w:lang w:val="fi-FI"/>
        </w:rPr>
        <w:t xml:space="preserve">ja </w:t>
      </w:r>
      <w:r>
        <w:rPr>
          <w:sz w:val="24"/>
          <w:szCs w:val="28"/>
          <w:lang w:val="fi-FI"/>
        </w:rPr>
        <w:t xml:space="preserve">mittareita. Näitä ovat esimerkiksi </w:t>
      </w:r>
      <w:r w:rsidR="000C0E4B">
        <w:rPr>
          <w:sz w:val="24"/>
          <w:szCs w:val="28"/>
          <w:lang w:val="fi-FI"/>
        </w:rPr>
        <w:t>taserakenteeseen liittyvä mittaristo</w:t>
      </w:r>
      <w:r>
        <w:rPr>
          <w:sz w:val="24"/>
          <w:szCs w:val="28"/>
          <w:lang w:val="fi-FI"/>
        </w:rPr>
        <w:t>. Emme voi siis unohtaa yrityksen tärkeimmän kuvaajan, taseen, merkitystä omistajien arvon määrittämisessä. Tätä mittaamme yrityksen</w:t>
      </w:r>
      <w:r>
        <w:rPr>
          <w:b/>
          <w:sz w:val="24"/>
          <w:szCs w:val="28"/>
          <w:lang w:val="fi-FI"/>
        </w:rPr>
        <w:t xml:space="preserve"> sub</w:t>
      </w:r>
      <w:r w:rsidRPr="00B64331">
        <w:rPr>
          <w:b/>
          <w:sz w:val="24"/>
          <w:szCs w:val="28"/>
          <w:lang w:val="fi-FI"/>
        </w:rPr>
        <w:t>stanssiarv</w:t>
      </w:r>
      <w:r>
        <w:rPr>
          <w:b/>
          <w:sz w:val="24"/>
          <w:szCs w:val="28"/>
          <w:lang w:val="fi-FI"/>
        </w:rPr>
        <w:t>olla.</w:t>
      </w:r>
    </w:p>
    <w:p w:rsidR="006D4802" w:rsidRDefault="006D4802" w:rsidP="00A366D6">
      <w:pPr>
        <w:pStyle w:val="Eivli"/>
        <w:ind w:left="720"/>
        <w:rPr>
          <w:b/>
          <w:sz w:val="24"/>
          <w:szCs w:val="28"/>
          <w:lang w:val="fi-FI"/>
        </w:rPr>
      </w:pPr>
    </w:p>
    <w:p w:rsidR="00B800A4" w:rsidRDefault="006D4802" w:rsidP="00A366D6">
      <w:pPr>
        <w:pStyle w:val="Eivli"/>
        <w:ind w:left="720"/>
        <w:rPr>
          <w:lang w:eastAsia="fi-FI"/>
        </w:rPr>
      </w:pPr>
      <w:r w:rsidRPr="00A366D6">
        <w:rPr>
          <w:noProof/>
          <w:lang w:val="fi-FI" w:eastAsia="fi-FI" w:bidi="ar-SA"/>
        </w:rPr>
        <w:drawing>
          <wp:inline distT="0" distB="0" distL="0" distR="0">
            <wp:extent cx="3463622" cy="3089689"/>
            <wp:effectExtent l="19050" t="0" r="3478" b="0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22" cy="308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6D6">
        <w:rPr>
          <w:lang w:eastAsia="fi-FI"/>
        </w:rPr>
        <w:tab/>
      </w:r>
    </w:p>
    <w:p w:rsidR="007836DA" w:rsidRDefault="007836DA" w:rsidP="009106AC">
      <w:pPr>
        <w:pStyle w:val="Eivli"/>
        <w:rPr>
          <w:sz w:val="24"/>
          <w:szCs w:val="28"/>
          <w:lang w:val="fi-FI"/>
        </w:rPr>
      </w:pPr>
    </w:p>
    <w:p w:rsidR="000C0E4B" w:rsidRDefault="000C0E4B" w:rsidP="009106AC">
      <w:pPr>
        <w:pStyle w:val="Eivli"/>
        <w:rPr>
          <w:sz w:val="24"/>
          <w:szCs w:val="28"/>
          <w:lang w:val="fi-FI"/>
        </w:rPr>
      </w:pPr>
      <w:r>
        <w:rPr>
          <w:sz w:val="24"/>
          <w:szCs w:val="28"/>
          <w:lang w:val="fi-FI"/>
        </w:rPr>
        <w:t xml:space="preserve">Erittäin tärkeää on huomata, että vaikka ko. mittarit ovat erittäin tärkeitä omistajille, niin ne ovat kuitenkin ns. seurausarvoja ja menneisyyden lukemia. Syy siihen, että </w:t>
      </w:r>
      <w:r w:rsidR="00552D2B">
        <w:rPr>
          <w:sz w:val="24"/>
          <w:szCs w:val="28"/>
          <w:lang w:val="fi-FI"/>
        </w:rPr>
        <w:t xml:space="preserve">olemme </w:t>
      </w:r>
      <w:r>
        <w:rPr>
          <w:sz w:val="24"/>
          <w:szCs w:val="28"/>
          <w:lang w:val="fi-FI"/>
        </w:rPr>
        <w:t>menesty</w:t>
      </w:r>
      <w:r w:rsidR="00552D2B">
        <w:rPr>
          <w:sz w:val="24"/>
          <w:szCs w:val="28"/>
          <w:lang w:val="fi-FI"/>
        </w:rPr>
        <w:t>neet</w:t>
      </w:r>
      <w:r>
        <w:rPr>
          <w:sz w:val="24"/>
          <w:szCs w:val="28"/>
          <w:lang w:val="fi-FI"/>
        </w:rPr>
        <w:t xml:space="preserve"> näissä mittarissa, on </w:t>
      </w:r>
      <w:r w:rsidRPr="00552D2B">
        <w:rPr>
          <w:b/>
          <w:sz w:val="24"/>
          <w:szCs w:val="28"/>
          <w:lang w:val="fi-FI"/>
        </w:rPr>
        <w:t>asiakkaidemme arvostuksessa</w:t>
      </w:r>
      <w:r>
        <w:rPr>
          <w:sz w:val="24"/>
          <w:szCs w:val="28"/>
          <w:lang w:val="fi-FI"/>
        </w:rPr>
        <w:t xml:space="preserve"> </w:t>
      </w:r>
      <w:r w:rsidR="00552D2B">
        <w:rPr>
          <w:sz w:val="24"/>
          <w:szCs w:val="28"/>
          <w:lang w:val="fi-FI"/>
        </w:rPr>
        <w:t>ja niistä seuranneista valinnoista sekä</w:t>
      </w:r>
      <w:r>
        <w:rPr>
          <w:sz w:val="24"/>
          <w:szCs w:val="28"/>
          <w:lang w:val="fi-FI"/>
        </w:rPr>
        <w:t xml:space="preserve"> yrityksemme </w:t>
      </w:r>
      <w:r w:rsidRPr="00552D2B">
        <w:rPr>
          <w:b/>
          <w:sz w:val="24"/>
          <w:szCs w:val="28"/>
          <w:lang w:val="fi-FI"/>
        </w:rPr>
        <w:t>kyvystä kilpailla</w:t>
      </w:r>
      <w:r>
        <w:rPr>
          <w:sz w:val="24"/>
          <w:szCs w:val="28"/>
          <w:lang w:val="fi-FI"/>
        </w:rPr>
        <w:t xml:space="preserve"> valitsemillamme </w:t>
      </w:r>
      <w:r w:rsidRPr="00552D2B">
        <w:rPr>
          <w:b/>
          <w:sz w:val="24"/>
          <w:szCs w:val="28"/>
          <w:lang w:val="fi-FI"/>
        </w:rPr>
        <w:t>markkinoilla</w:t>
      </w:r>
      <w:r>
        <w:rPr>
          <w:sz w:val="24"/>
          <w:szCs w:val="28"/>
          <w:lang w:val="fi-FI"/>
        </w:rPr>
        <w:t>.</w:t>
      </w:r>
    </w:p>
    <w:p w:rsidR="00552D2B" w:rsidRDefault="00552D2B" w:rsidP="009106AC">
      <w:pPr>
        <w:pStyle w:val="Eivli"/>
        <w:rPr>
          <w:sz w:val="24"/>
          <w:szCs w:val="28"/>
          <w:lang w:val="fi-FI"/>
        </w:rPr>
      </w:pPr>
    </w:p>
    <w:p w:rsidR="00552D2B" w:rsidRPr="006D4802" w:rsidRDefault="00552D2B" w:rsidP="009106AC">
      <w:pPr>
        <w:pStyle w:val="Eivli"/>
        <w:rPr>
          <w:b/>
          <w:sz w:val="24"/>
          <w:szCs w:val="28"/>
          <w:lang w:val="fi-FI"/>
        </w:rPr>
      </w:pPr>
      <w:r w:rsidRPr="006D4802">
        <w:rPr>
          <w:b/>
          <w:sz w:val="24"/>
          <w:szCs w:val="28"/>
          <w:lang w:val="fi-FI"/>
        </w:rPr>
        <w:t>Antti 6.4.2014</w:t>
      </w:r>
    </w:p>
    <w:sectPr w:rsidR="00552D2B" w:rsidRPr="006D4802" w:rsidSect="008A6400">
      <w:headerReference w:type="default" r:id="rId12"/>
      <w:footerReference w:type="default" r:id="rId13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2B" w:rsidRDefault="00F51E2B">
      <w:r>
        <w:separator/>
      </w:r>
    </w:p>
  </w:endnote>
  <w:endnote w:type="continuationSeparator" w:id="0">
    <w:p w:rsidR="00F51E2B" w:rsidRDefault="00F5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Pr="003A155A" w:rsidRDefault="00EC7833" w:rsidP="004226E3">
    <w:pPr>
      <w:pStyle w:val="Alatunniste"/>
      <w:ind w:left="-1134"/>
      <w:rPr>
        <w:color w:val="7F7F7F" w:themeColor="text1" w:themeTint="80"/>
      </w:rPr>
    </w:pPr>
    <w:r>
      <w:tab/>
    </w:r>
    <w:r w:rsidR="006344CF" w:rsidRPr="003A155A">
      <w:rPr>
        <w:color w:val="7F7F7F" w:themeColor="text1" w:themeTint="80"/>
      </w:rPr>
      <w:fldChar w:fldCharType="begin"/>
    </w:r>
    <w:r w:rsidR="00B96AE8" w:rsidRPr="003A155A">
      <w:rPr>
        <w:color w:val="7F7F7F" w:themeColor="text1" w:themeTint="80"/>
      </w:rPr>
      <w:instrText xml:space="preserve"> PAGE   \* MERGEFORMAT </w:instrText>
    </w:r>
    <w:r w:rsidR="006344CF" w:rsidRPr="003A155A">
      <w:rPr>
        <w:color w:val="7F7F7F" w:themeColor="text1" w:themeTint="80"/>
      </w:rPr>
      <w:fldChar w:fldCharType="separate"/>
    </w:r>
    <w:r w:rsidR="002E6366">
      <w:rPr>
        <w:noProof/>
        <w:color w:val="7F7F7F" w:themeColor="text1" w:themeTint="80"/>
      </w:rPr>
      <w:t>1</w:t>
    </w:r>
    <w:r w:rsidR="006344CF" w:rsidRPr="003A155A">
      <w:rPr>
        <w:color w:val="7F7F7F" w:themeColor="text1" w:themeTint="80"/>
      </w:rPr>
      <w:fldChar w:fldCharType="end"/>
    </w:r>
    <w:r w:rsidR="00263766" w:rsidRPr="003A155A">
      <w:rPr>
        <w:noProof/>
        <w:color w:val="7F7F7F" w:themeColor="text1" w:themeTint="80"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 w:rsidRPr="003A155A">
      <w:rPr>
        <w:noProof/>
        <w:color w:val="7F7F7F" w:themeColor="text1" w:themeTint="80"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 w:rsidRPr="003A155A">
      <w:rPr>
        <w:noProof/>
        <w:color w:val="7F7F7F" w:themeColor="text1" w:themeTint="80"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2B" w:rsidRDefault="00F51E2B">
      <w:r>
        <w:separator/>
      </w:r>
    </w:p>
  </w:footnote>
  <w:footnote w:type="continuationSeparator" w:id="0">
    <w:p w:rsidR="00F51E2B" w:rsidRDefault="00F5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6344CF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6344CF" w:rsidRPr="00EC7833">
      <w:rPr>
        <w:noProof/>
        <w:color w:val="7F7F7F" w:themeColor="text1" w:themeTint="80"/>
        <w:lang w:eastAsia="fi-FI"/>
      </w:rPr>
      <w:fldChar w:fldCharType="separate"/>
    </w:r>
    <w:r w:rsidR="006D4802">
      <w:rPr>
        <w:noProof/>
        <w:color w:val="7F7F7F" w:themeColor="text1" w:themeTint="80"/>
        <w:lang w:eastAsia="fi-FI"/>
      </w:rPr>
      <w:t>27.5.2014</w:t>
    </w:r>
    <w:r w:rsidR="006344CF" w:rsidRPr="00EC7833">
      <w:rPr>
        <w:noProof/>
        <w:color w:val="7F7F7F" w:themeColor="text1" w:themeTint="80"/>
        <w:lang w:eastAsia="fi-FI"/>
      </w:rPr>
      <w:fldChar w:fldCharType="end"/>
    </w:r>
  </w:p>
  <w:p w:rsidR="00EC7833" w:rsidRPr="009B4EC8" w:rsidRDefault="00361CC6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>Ohje h</w:t>
    </w:r>
    <w:r w:rsidR="009B4EC8">
      <w:rPr>
        <w:noProof/>
        <w:color w:val="7F7F7F" w:themeColor="text1" w:themeTint="80"/>
        <w:lang w:eastAsia="fi-FI"/>
      </w:rPr>
      <w:t>allituksen tuottaman lisäarvon määrittämi</w:t>
    </w:r>
    <w:r>
      <w:rPr>
        <w:noProof/>
        <w:color w:val="7F7F7F" w:themeColor="text1" w:themeTint="80"/>
        <w:lang w:eastAsia="fi-FI"/>
      </w:rPr>
      <w:t>seen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04C08C0"/>
    <w:multiLevelType w:val="hybridMultilevel"/>
    <w:tmpl w:val="9E48AF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6C3F7B"/>
    <w:multiLevelType w:val="hybridMultilevel"/>
    <w:tmpl w:val="4304519A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038FB"/>
    <w:multiLevelType w:val="hybridMultilevel"/>
    <w:tmpl w:val="32901910"/>
    <w:lvl w:ilvl="0" w:tplc="CED8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96D0F"/>
    <w:multiLevelType w:val="hybridMultilevel"/>
    <w:tmpl w:val="37482800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E3186"/>
    <w:multiLevelType w:val="hybridMultilevel"/>
    <w:tmpl w:val="C4744546"/>
    <w:lvl w:ilvl="0" w:tplc="E264AF62">
      <w:start w:val="6"/>
      <w:numFmt w:val="bullet"/>
      <w:lvlText w:val="-"/>
      <w:lvlJc w:val="left"/>
      <w:pPr>
        <w:ind w:left="1665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5EA4211"/>
    <w:multiLevelType w:val="multilevel"/>
    <w:tmpl w:val="6C822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8">
    <w:nsid w:val="2894650E"/>
    <w:multiLevelType w:val="hybridMultilevel"/>
    <w:tmpl w:val="1096BBFE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25A94"/>
    <w:multiLevelType w:val="hybridMultilevel"/>
    <w:tmpl w:val="49E89AB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8307B"/>
    <w:multiLevelType w:val="hybridMultilevel"/>
    <w:tmpl w:val="402426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65099"/>
    <w:multiLevelType w:val="hybridMultilevel"/>
    <w:tmpl w:val="683428D0"/>
    <w:lvl w:ilvl="0" w:tplc="000000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82F11"/>
    <w:multiLevelType w:val="multilevel"/>
    <w:tmpl w:val="6C822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13">
    <w:nsid w:val="338356BB"/>
    <w:multiLevelType w:val="hybridMultilevel"/>
    <w:tmpl w:val="F594D20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079B4"/>
    <w:multiLevelType w:val="hybridMultilevel"/>
    <w:tmpl w:val="8DAC7C1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1B36"/>
    <w:multiLevelType w:val="hybridMultilevel"/>
    <w:tmpl w:val="5184B01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346DC"/>
    <w:multiLevelType w:val="multilevel"/>
    <w:tmpl w:val="6C822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17">
    <w:nsid w:val="5AC90F3C"/>
    <w:multiLevelType w:val="hybridMultilevel"/>
    <w:tmpl w:val="DBB09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063F3"/>
    <w:multiLevelType w:val="hybridMultilevel"/>
    <w:tmpl w:val="DF12403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59648E3"/>
    <w:multiLevelType w:val="hybridMultilevel"/>
    <w:tmpl w:val="262A5DC8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3861F9"/>
    <w:multiLevelType w:val="hybridMultilevel"/>
    <w:tmpl w:val="B832E692"/>
    <w:lvl w:ilvl="0" w:tplc="040B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98943C1"/>
    <w:multiLevelType w:val="hybridMultilevel"/>
    <w:tmpl w:val="0E261AE6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81703"/>
    <w:multiLevelType w:val="hybridMultilevel"/>
    <w:tmpl w:val="14C8820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7"/>
  </w:num>
  <w:num w:numId="5">
    <w:abstractNumId w:val="14"/>
  </w:num>
  <w:num w:numId="6">
    <w:abstractNumId w:val="24"/>
  </w:num>
  <w:num w:numId="7">
    <w:abstractNumId w:val="7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  <w:num w:numId="17">
    <w:abstractNumId w:val="1"/>
  </w:num>
  <w:num w:numId="18">
    <w:abstractNumId w:val="5"/>
  </w:num>
  <w:num w:numId="19">
    <w:abstractNumId w:val="21"/>
  </w:num>
  <w:num w:numId="20">
    <w:abstractNumId w:val="23"/>
  </w:num>
  <w:num w:numId="21">
    <w:abstractNumId w:val="22"/>
  </w:num>
  <w:num w:numId="22">
    <w:abstractNumId w:val="9"/>
  </w:num>
  <w:num w:numId="23">
    <w:abstractNumId w:val="18"/>
  </w:num>
  <w:num w:numId="24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6400"/>
    <w:rsid w:val="00017909"/>
    <w:rsid w:val="000252DA"/>
    <w:rsid w:val="000841E7"/>
    <w:rsid w:val="000C0E4B"/>
    <w:rsid w:val="000D729B"/>
    <w:rsid w:val="000E7C51"/>
    <w:rsid w:val="001436A5"/>
    <w:rsid w:val="00172639"/>
    <w:rsid w:val="00197F17"/>
    <w:rsid w:val="001A5A3E"/>
    <w:rsid w:val="001F2222"/>
    <w:rsid w:val="00212270"/>
    <w:rsid w:val="002575C0"/>
    <w:rsid w:val="00263766"/>
    <w:rsid w:val="00295AF2"/>
    <w:rsid w:val="002B2A11"/>
    <w:rsid w:val="002B536E"/>
    <w:rsid w:val="002C2F78"/>
    <w:rsid w:val="002E6366"/>
    <w:rsid w:val="00315A06"/>
    <w:rsid w:val="00361CC6"/>
    <w:rsid w:val="003807F8"/>
    <w:rsid w:val="003A155A"/>
    <w:rsid w:val="003F725F"/>
    <w:rsid w:val="00404FF8"/>
    <w:rsid w:val="0041008F"/>
    <w:rsid w:val="004226E3"/>
    <w:rsid w:val="00431C07"/>
    <w:rsid w:val="0049170E"/>
    <w:rsid w:val="004A7D36"/>
    <w:rsid w:val="00552D2B"/>
    <w:rsid w:val="00565511"/>
    <w:rsid w:val="00584EE8"/>
    <w:rsid w:val="005867A7"/>
    <w:rsid w:val="00591C63"/>
    <w:rsid w:val="00591D32"/>
    <w:rsid w:val="005B2ECD"/>
    <w:rsid w:val="00620B36"/>
    <w:rsid w:val="006344CF"/>
    <w:rsid w:val="00635519"/>
    <w:rsid w:val="00666924"/>
    <w:rsid w:val="006A2A0D"/>
    <w:rsid w:val="006B289C"/>
    <w:rsid w:val="006C7137"/>
    <w:rsid w:val="006D3CD1"/>
    <w:rsid w:val="006D4802"/>
    <w:rsid w:val="006F3B99"/>
    <w:rsid w:val="00770F12"/>
    <w:rsid w:val="007836DA"/>
    <w:rsid w:val="00787357"/>
    <w:rsid w:val="00794068"/>
    <w:rsid w:val="007B5E1D"/>
    <w:rsid w:val="007E1333"/>
    <w:rsid w:val="00824BC4"/>
    <w:rsid w:val="00825304"/>
    <w:rsid w:val="00854532"/>
    <w:rsid w:val="0086376E"/>
    <w:rsid w:val="00865F62"/>
    <w:rsid w:val="0088005D"/>
    <w:rsid w:val="008A6400"/>
    <w:rsid w:val="008E260A"/>
    <w:rsid w:val="009106AC"/>
    <w:rsid w:val="00927BA9"/>
    <w:rsid w:val="00966D4A"/>
    <w:rsid w:val="0098751C"/>
    <w:rsid w:val="00991152"/>
    <w:rsid w:val="009B4EC8"/>
    <w:rsid w:val="009D012F"/>
    <w:rsid w:val="009F323D"/>
    <w:rsid w:val="00A118C6"/>
    <w:rsid w:val="00A13831"/>
    <w:rsid w:val="00A1563B"/>
    <w:rsid w:val="00A366D6"/>
    <w:rsid w:val="00A72ED3"/>
    <w:rsid w:val="00A86C30"/>
    <w:rsid w:val="00AD4BB4"/>
    <w:rsid w:val="00AE6854"/>
    <w:rsid w:val="00B35361"/>
    <w:rsid w:val="00B64331"/>
    <w:rsid w:val="00B800A4"/>
    <w:rsid w:val="00B96AE8"/>
    <w:rsid w:val="00BB05E6"/>
    <w:rsid w:val="00BB6A81"/>
    <w:rsid w:val="00BE13DE"/>
    <w:rsid w:val="00BF6266"/>
    <w:rsid w:val="00BF7FF4"/>
    <w:rsid w:val="00C35C50"/>
    <w:rsid w:val="00C95DD1"/>
    <w:rsid w:val="00CC46F9"/>
    <w:rsid w:val="00CE280D"/>
    <w:rsid w:val="00CF3C9C"/>
    <w:rsid w:val="00D33D94"/>
    <w:rsid w:val="00D37FF3"/>
    <w:rsid w:val="00D43459"/>
    <w:rsid w:val="00DA3DE0"/>
    <w:rsid w:val="00DA7945"/>
    <w:rsid w:val="00E556B9"/>
    <w:rsid w:val="00E66A83"/>
    <w:rsid w:val="00E67D2C"/>
    <w:rsid w:val="00E90936"/>
    <w:rsid w:val="00EC4F2C"/>
    <w:rsid w:val="00EC7833"/>
    <w:rsid w:val="00EF3F5C"/>
    <w:rsid w:val="00F01BB9"/>
    <w:rsid w:val="00F176CA"/>
    <w:rsid w:val="00F51E2B"/>
    <w:rsid w:val="00F62F43"/>
    <w:rsid w:val="00F66FB2"/>
    <w:rsid w:val="00F86E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7BA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509E" w:themeColor="accent1"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34"/>
    <w:qFormat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1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3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b/>
      <w:bCs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27BA9"/>
    <w:rPr>
      <w:rFonts w:asciiTheme="majorHAnsi" w:eastAsiaTheme="majorEastAsia" w:hAnsiTheme="majorHAnsi" w:cstheme="majorBidi"/>
      <w:b/>
      <w:bCs/>
      <w:color w:val="00509E" w:themeColor="accent1"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27BA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27BA9"/>
    <w:rPr>
      <w:rFonts w:ascii="Tahoma" w:hAnsi="Tahoma" w:cs="Tahoma"/>
      <w:sz w:val="16"/>
      <w:szCs w:val="16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155A"/>
    <w:pPr>
      <w:spacing w:after="0" w:line="276" w:lineRule="auto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3A155A"/>
    <w:pPr>
      <w:tabs>
        <w:tab w:val="right" w:leader="dot" w:pos="9622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A155A"/>
    <w:pPr>
      <w:spacing w:after="100"/>
      <w:ind w:left="200"/>
    </w:pPr>
  </w:style>
  <w:style w:type="character" w:styleId="Hyperlinkki">
    <w:name w:val="Hyperlink"/>
    <w:basedOn w:val="Kappaleenoletusfontti"/>
    <w:uiPriority w:val="99"/>
    <w:unhideWhenUsed/>
    <w:rsid w:val="003A155A"/>
    <w:rPr>
      <w:color w:val="00509E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15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55A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D43459"/>
    <w:rPr>
      <w:rFonts w:ascii="Calibri" w:eastAsia="Times New Roman" w:hAnsi="Calibri" w:cs="Arial"/>
      <w:szCs w:val="20"/>
      <w:lang w:val="en-US" w:bidi="en-US"/>
    </w:rPr>
  </w:style>
  <w:style w:type="character" w:customStyle="1" w:styleId="EivliChar">
    <w:name w:val="Ei väliä Char"/>
    <w:basedOn w:val="Kappaleenoletusfontti"/>
    <w:link w:val="Eivli"/>
    <w:uiPriority w:val="1"/>
    <w:rsid w:val="00D43459"/>
    <w:rPr>
      <w:rFonts w:ascii="Calibri" w:eastAsia="Times New Roman" w:hAnsi="Calibri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8FEC-37CE-42D6-B3AD-0CAFDC15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3</Pages>
  <Words>260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2364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3</cp:revision>
  <cp:lastPrinted>2011-08-11T08:48:00Z</cp:lastPrinted>
  <dcterms:created xsi:type="dcterms:W3CDTF">2014-05-27T05:33:00Z</dcterms:created>
  <dcterms:modified xsi:type="dcterms:W3CDTF">2014-05-27T05:33:00Z</dcterms:modified>
</cp:coreProperties>
</file>